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18C1" w14:textId="77777777" w:rsidR="00B060FA" w:rsidRPr="00104282" w:rsidRDefault="00B060FA" w:rsidP="003A1070">
      <w:pPr>
        <w:pStyle w:val="NoSpacing"/>
      </w:pPr>
    </w:p>
    <w:p w14:paraId="735973E9" w14:textId="77777777" w:rsidR="00EB2A9B" w:rsidRPr="00104282" w:rsidRDefault="00EB2A9B" w:rsidP="00EB2A9B">
      <w:pPr>
        <w:spacing w:line="200" w:lineRule="exact"/>
        <w:rPr>
          <w:rFonts w:cstheme="minorHAnsi"/>
          <w:sz w:val="28"/>
          <w:szCs w:val="28"/>
        </w:rPr>
      </w:pPr>
    </w:p>
    <w:p w14:paraId="49C09CA4" w14:textId="77777777" w:rsidR="00305949" w:rsidRPr="00104282" w:rsidRDefault="00305949" w:rsidP="00EB2A9B">
      <w:pPr>
        <w:spacing w:line="200" w:lineRule="exact"/>
        <w:rPr>
          <w:rFonts w:cstheme="minorHAnsi"/>
          <w:sz w:val="28"/>
          <w:szCs w:val="28"/>
        </w:rPr>
      </w:pPr>
    </w:p>
    <w:p w14:paraId="7D46281A" w14:textId="77777777" w:rsidR="00305949" w:rsidRPr="00104282" w:rsidRDefault="00305949" w:rsidP="00EB2A9B">
      <w:pPr>
        <w:spacing w:line="200" w:lineRule="exact"/>
        <w:rPr>
          <w:rFonts w:cstheme="minorHAnsi"/>
          <w:sz w:val="28"/>
          <w:szCs w:val="28"/>
        </w:rPr>
      </w:pPr>
    </w:p>
    <w:p w14:paraId="077D5633" w14:textId="77777777" w:rsidR="00305949" w:rsidRPr="00104282" w:rsidRDefault="00305949" w:rsidP="00EB2A9B">
      <w:pPr>
        <w:spacing w:line="200" w:lineRule="exact"/>
        <w:rPr>
          <w:rFonts w:cstheme="minorHAnsi"/>
          <w:sz w:val="28"/>
          <w:szCs w:val="28"/>
        </w:rPr>
      </w:pPr>
    </w:p>
    <w:p w14:paraId="6E60939A" w14:textId="77777777" w:rsidR="00305949" w:rsidRPr="00104282" w:rsidRDefault="00305949" w:rsidP="00EB2A9B">
      <w:pPr>
        <w:spacing w:line="200" w:lineRule="exact"/>
        <w:rPr>
          <w:rFonts w:cstheme="minorHAnsi"/>
          <w:sz w:val="28"/>
          <w:szCs w:val="28"/>
        </w:rPr>
      </w:pPr>
    </w:p>
    <w:p w14:paraId="0A0B7A2D" w14:textId="77777777" w:rsidR="00305949" w:rsidRPr="00104282" w:rsidRDefault="00305949" w:rsidP="00EB2A9B">
      <w:pPr>
        <w:spacing w:line="200" w:lineRule="exact"/>
        <w:rPr>
          <w:rFonts w:cstheme="minorHAnsi"/>
          <w:sz w:val="28"/>
          <w:szCs w:val="28"/>
        </w:rPr>
      </w:pPr>
    </w:p>
    <w:p w14:paraId="755AD44E" w14:textId="05F85899" w:rsidR="00305949" w:rsidRPr="00104282" w:rsidRDefault="00305949" w:rsidP="00EB2A9B">
      <w:pPr>
        <w:spacing w:line="200" w:lineRule="exact"/>
        <w:rPr>
          <w:rFonts w:cstheme="minorHAnsi"/>
          <w:sz w:val="28"/>
          <w:szCs w:val="28"/>
        </w:rPr>
      </w:pPr>
    </w:p>
    <w:p w14:paraId="388FAAE0" w14:textId="7DA6DEDB" w:rsidR="00305949" w:rsidRPr="00104282" w:rsidRDefault="00305949" w:rsidP="00EB2A9B">
      <w:pPr>
        <w:spacing w:line="200" w:lineRule="exact"/>
        <w:rPr>
          <w:rFonts w:cstheme="minorHAnsi"/>
          <w:sz w:val="28"/>
          <w:szCs w:val="28"/>
        </w:rPr>
      </w:pPr>
    </w:p>
    <w:p w14:paraId="7A9B14A2" w14:textId="42660159" w:rsidR="00305949" w:rsidRPr="00104282" w:rsidRDefault="00305949" w:rsidP="00EB2A9B">
      <w:pPr>
        <w:spacing w:line="200" w:lineRule="exact"/>
        <w:rPr>
          <w:rFonts w:cstheme="minorHAnsi"/>
          <w:sz w:val="28"/>
          <w:szCs w:val="28"/>
        </w:rPr>
      </w:pPr>
    </w:p>
    <w:p w14:paraId="2A739313" w14:textId="7E27D585" w:rsidR="00305949" w:rsidRPr="00104282" w:rsidRDefault="00305949" w:rsidP="00EB2A9B">
      <w:pPr>
        <w:spacing w:line="200" w:lineRule="exact"/>
        <w:rPr>
          <w:rFonts w:cstheme="minorHAnsi"/>
          <w:sz w:val="28"/>
          <w:szCs w:val="28"/>
        </w:rPr>
      </w:pPr>
    </w:p>
    <w:p w14:paraId="2EDDFC12" w14:textId="5E4E9231" w:rsidR="00305949" w:rsidRDefault="00EA0233" w:rsidP="00EB2A9B">
      <w:pPr>
        <w:spacing w:line="200" w:lineRule="exact"/>
        <w:rPr>
          <w:rFonts w:cstheme="minorHAnsi"/>
          <w:sz w:val="28"/>
          <w:szCs w:val="28"/>
        </w:rPr>
      </w:pPr>
      <w:r w:rsidRPr="00F6018D">
        <w:rPr>
          <w:noProof/>
        </w:rPr>
        <w:drawing>
          <wp:anchor distT="0" distB="0" distL="114300" distR="114300" simplePos="0" relativeHeight="251659264" behindDoc="0" locked="0" layoutInCell="1" allowOverlap="1" wp14:anchorId="0CCC63B7" wp14:editId="2256DAE6">
            <wp:simplePos x="0" y="0"/>
            <wp:positionH relativeFrom="column">
              <wp:posOffset>1925955</wp:posOffset>
            </wp:positionH>
            <wp:positionV relativeFrom="paragraph">
              <wp:posOffset>76103</wp:posOffset>
            </wp:positionV>
            <wp:extent cx="1989282" cy="1980328"/>
            <wp:effectExtent l="38100" t="38100" r="68580" b="9652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9282" cy="1980328"/>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DFD985F" w14:textId="77777777" w:rsidR="00EA0233" w:rsidRDefault="00EA0233" w:rsidP="00EB2A9B">
      <w:pPr>
        <w:spacing w:line="200" w:lineRule="exact"/>
        <w:rPr>
          <w:rFonts w:cstheme="minorHAnsi"/>
          <w:sz w:val="28"/>
          <w:szCs w:val="28"/>
        </w:rPr>
      </w:pPr>
    </w:p>
    <w:p w14:paraId="486C8EA4" w14:textId="77777777" w:rsidR="00EA0233" w:rsidRDefault="00EA0233" w:rsidP="00EB2A9B">
      <w:pPr>
        <w:spacing w:line="200" w:lineRule="exact"/>
        <w:rPr>
          <w:rFonts w:cstheme="minorHAnsi"/>
          <w:sz w:val="28"/>
          <w:szCs w:val="28"/>
        </w:rPr>
      </w:pPr>
    </w:p>
    <w:p w14:paraId="799EB56B" w14:textId="77777777" w:rsidR="00EA0233" w:rsidRDefault="00EA0233" w:rsidP="00EB2A9B">
      <w:pPr>
        <w:spacing w:line="200" w:lineRule="exact"/>
        <w:rPr>
          <w:rFonts w:cstheme="minorHAnsi"/>
          <w:sz w:val="28"/>
          <w:szCs w:val="28"/>
        </w:rPr>
      </w:pPr>
    </w:p>
    <w:p w14:paraId="79657EAE" w14:textId="77777777" w:rsidR="00EA0233" w:rsidRDefault="00EA0233" w:rsidP="00EB2A9B">
      <w:pPr>
        <w:spacing w:line="200" w:lineRule="exact"/>
        <w:rPr>
          <w:rFonts w:cstheme="minorHAnsi"/>
          <w:sz w:val="28"/>
          <w:szCs w:val="28"/>
        </w:rPr>
      </w:pPr>
    </w:p>
    <w:p w14:paraId="035B45C4" w14:textId="77777777" w:rsidR="00EA0233" w:rsidRDefault="00EA0233" w:rsidP="00EB2A9B">
      <w:pPr>
        <w:spacing w:line="200" w:lineRule="exact"/>
        <w:rPr>
          <w:rFonts w:cstheme="minorHAnsi"/>
          <w:sz w:val="28"/>
          <w:szCs w:val="28"/>
        </w:rPr>
      </w:pPr>
    </w:p>
    <w:p w14:paraId="36260DDC" w14:textId="77777777" w:rsidR="00EA0233" w:rsidRDefault="00EA0233" w:rsidP="00EB2A9B">
      <w:pPr>
        <w:spacing w:line="200" w:lineRule="exact"/>
        <w:rPr>
          <w:rFonts w:cstheme="minorHAnsi"/>
          <w:sz w:val="28"/>
          <w:szCs w:val="28"/>
        </w:rPr>
      </w:pPr>
    </w:p>
    <w:p w14:paraId="15D851D1" w14:textId="77777777" w:rsidR="00EA0233" w:rsidRDefault="00EA0233" w:rsidP="00EB2A9B">
      <w:pPr>
        <w:spacing w:line="200" w:lineRule="exact"/>
        <w:rPr>
          <w:rFonts w:cstheme="minorHAnsi"/>
          <w:sz w:val="28"/>
          <w:szCs w:val="28"/>
        </w:rPr>
      </w:pPr>
    </w:p>
    <w:p w14:paraId="4EC150F7" w14:textId="77777777" w:rsidR="00EA0233" w:rsidRDefault="00EA0233" w:rsidP="00EB2A9B">
      <w:pPr>
        <w:spacing w:line="200" w:lineRule="exact"/>
        <w:rPr>
          <w:rFonts w:cstheme="minorHAnsi"/>
          <w:sz w:val="28"/>
          <w:szCs w:val="28"/>
        </w:rPr>
      </w:pPr>
    </w:p>
    <w:p w14:paraId="228F3893" w14:textId="77777777" w:rsidR="00EA0233" w:rsidRDefault="00EA0233" w:rsidP="00EB2A9B">
      <w:pPr>
        <w:spacing w:line="200" w:lineRule="exact"/>
        <w:rPr>
          <w:rFonts w:cstheme="minorHAnsi"/>
          <w:sz w:val="28"/>
          <w:szCs w:val="28"/>
        </w:rPr>
      </w:pPr>
    </w:p>
    <w:p w14:paraId="45B74D76" w14:textId="77777777" w:rsidR="00EA0233" w:rsidRDefault="00EA0233" w:rsidP="00EB2A9B">
      <w:pPr>
        <w:spacing w:line="200" w:lineRule="exact"/>
        <w:rPr>
          <w:rFonts w:cstheme="minorHAnsi"/>
          <w:sz w:val="28"/>
          <w:szCs w:val="28"/>
        </w:rPr>
      </w:pPr>
    </w:p>
    <w:p w14:paraId="0178CB53" w14:textId="77777777" w:rsidR="00EA0233" w:rsidRDefault="00EA0233" w:rsidP="00EB2A9B">
      <w:pPr>
        <w:spacing w:line="200" w:lineRule="exact"/>
        <w:rPr>
          <w:rFonts w:cstheme="minorHAnsi"/>
          <w:sz w:val="28"/>
          <w:szCs w:val="28"/>
        </w:rPr>
      </w:pPr>
    </w:p>
    <w:p w14:paraId="7B8AB100" w14:textId="77777777" w:rsidR="00EA0233" w:rsidRDefault="00EA0233" w:rsidP="00EB2A9B">
      <w:pPr>
        <w:spacing w:line="200" w:lineRule="exact"/>
        <w:rPr>
          <w:rFonts w:cstheme="minorHAnsi"/>
          <w:sz w:val="28"/>
          <w:szCs w:val="28"/>
        </w:rPr>
      </w:pPr>
    </w:p>
    <w:p w14:paraId="4ED17770" w14:textId="77777777" w:rsidR="00EA0233" w:rsidRDefault="00EA0233" w:rsidP="00EB2A9B">
      <w:pPr>
        <w:spacing w:line="200" w:lineRule="exact"/>
        <w:rPr>
          <w:rFonts w:cstheme="minorHAnsi"/>
          <w:sz w:val="28"/>
          <w:szCs w:val="28"/>
        </w:rPr>
      </w:pPr>
    </w:p>
    <w:p w14:paraId="29F7C497" w14:textId="77777777" w:rsidR="00EA0233" w:rsidRDefault="00EA0233" w:rsidP="00EB2A9B">
      <w:pPr>
        <w:spacing w:line="200" w:lineRule="exact"/>
        <w:rPr>
          <w:rFonts w:cstheme="minorHAnsi"/>
          <w:sz w:val="28"/>
          <w:szCs w:val="28"/>
        </w:rPr>
      </w:pPr>
    </w:p>
    <w:p w14:paraId="529AFFEB" w14:textId="77777777" w:rsidR="00EA0233" w:rsidRPr="00104282" w:rsidRDefault="00EA0233" w:rsidP="00EB2A9B">
      <w:pPr>
        <w:spacing w:line="200" w:lineRule="exact"/>
        <w:rPr>
          <w:rFonts w:cstheme="minorHAnsi"/>
          <w:sz w:val="28"/>
          <w:szCs w:val="28"/>
        </w:rPr>
      </w:pPr>
    </w:p>
    <w:p w14:paraId="151C12E9" w14:textId="77777777" w:rsidR="00305949" w:rsidRDefault="00305949" w:rsidP="00EB2A9B">
      <w:pPr>
        <w:spacing w:line="200" w:lineRule="exact"/>
        <w:rPr>
          <w:rFonts w:cstheme="minorHAnsi"/>
          <w:sz w:val="28"/>
          <w:szCs w:val="28"/>
        </w:rPr>
      </w:pPr>
    </w:p>
    <w:p w14:paraId="2A1D20BF" w14:textId="77777777" w:rsidR="00EA0233" w:rsidRDefault="00EA0233" w:rsidP="00EB2A9B">
      <w:pPr>
        <w:spacing w:line="200" w:lineRule="exact"/>
        <w:rPr>
          <w:rFonts w:cstheme="minorHAnsi"/>
          <w:sz w:val="28"/>
          <w:szCs w:val="28"/>
        </w:rPr>
      </w:pPr>
    </w:p>
    <w:p w14:paraId="101F5454" w14:textId="77777777" w:rsidR="00EA0233" w:rsidRDefault="00EA0233" w:rsidP="00EB2A9B">
      <w:pPr>
        <w:spacing w:line="200" w:lineRule="exact"/>
        <w:rPr>
          <w:rFonts w:cstheme="minorHAnsi"/>
          <w:sz w:val="28"/>
          <w:szCs w:val="28"/>
        </w:rPr>
      </w:pPr>
    </w:p>
    <w:p w14:paraId="2845CCEC" w14:textId="77777777" w:rsidR="00EA0233" w:rsidRDefault="00EA0233" w:rsidP="00EB2A9B">
      <w:pPr>
        <w:spacing w:line="200" w:lineRule="exact"/>
        <w:rPr>
          <w:rFonts w:cstheme="minorHAnsi"/>
          <w:sz w:val="28"/>
          <w:szCs w:val="28"/>
        </w:rPr>
      </w:pPr>
    </w:p>
    <w:p w14:paraId="7DC42560" w14:textId="77777777" w:rsidR="00EA0233" w:rsidRDefault="00EA0233" w:rsidP="00EB2A9B">
      <w:pPr>
        <w:spacing w:line="200" w:lineRule="exact"/>
        <w:rPr>
          <w:rFonts w:cstheme="minorHAnsi"/>
          <w:sz w:val="28"/>
          <w:szCs w:val="28"/>
        </w:rPr>
      </w:pPr>
    </w:p>
    <w:p w14:paraId="2A88DD29" w14:textId="77777777" w:rsidR="00EA0233" w:rsidRDefault="00EA0233" w:rsidP="00EB2A9B">
      <w:pPr>
        <w:spacing w:line="200" w:lineRule="exact"/>
        <w:rPr>
          <w:rFonts w:cstheme="minorHAnsi"/>
          <w:sz w:val="28"/>
          <w:szCs w:val="28"/>
        </w:rPr>
      </w:pPr>
    </w:p>
    <w:p w14:paraId="6BFC9718" w14:textId="77777777" w:rsidR="00EA0233" w:rsidRDefault="00EA0233" w:rsidP="00EB2A9B">
      <w:pPr>
        <w:spacing w:line="200" w:lineRule="exact"/>
        <w:rPr>
          <w:rFonts w:cstheme="minorHAnsi"/>
          <w:sz w:val="28"/>
          <w:szCs w:val="28"/>
        </w:rPr>
      </w:pPr>
    </w:p>
    <w:p w14:paraId="50DAA16B" w14:textId="77777777" w:rsidR="00EA0233" w:rsidRDefault="00EA0233" w:rsidP="00EB2A9B">
      <w:pPr>
        <w:spacing w:line="200" w:lineRule="exact"/>
        <w:rPr>
          <w:rFonts w:cstheme="minorHAnsi"/>
          <w:sz w:val="28"/>
          <w:szCs w:val="28"/>
        </w:rPr>
      </w:pPr>
    </w:p>
    <w:p w14:paraId="40C345C8" w14:textId="77777777" w:rsidR="00EA0233" w:rsidRDefault="00EA0233" w:rsidP="00EB2A9B">
      <w:pPr>
        <w:spacing w:line="200" w:lineRule="exact"/>
        <w:rPr>
          <w:rFonts w:cstheme="minorHAnsi"/>
          <w:sz w:val="28"/>
          <w:szCs w:val="28"/>
        </w:rPr>
      </w:pPr>
    </w:p>
    <w:p w14:paraId="53CE88CA" w14:textId="77777777" w:rsidR="00EA0233" w:rsidRDefault="00EA0233" w:rsidP="00EB2A9B">
      <w:pPr>
        <w:spacing w:line="200" w:lineRule="exact"/>
        <w:rPr>
          <w:rFonts w:cstheme="minorHAnsi"/>
          <w:sz w:val="28"/>
          <w:szCs w:val="28"/>
        </w:rPr>
      </w:pPr>
    </w:p>
    <w:p w14:paraId="2F836A43" w14:textId="77777777" w:rsidR="00305949" w:rsidRPr="00EA0233" w:rsidRDefault="00305949" w:rsidP="00EA0233">
      <w:pPr>
        <w:pStyle w:val="TOCHeading"/>
        <w:rPr>
          <w:rStyle w:val="Strong"/>
        </w:rPr>
      </w:pPr>
    </w:p>
    <w:p w14:paraId="41876610" w14:textId="562488FA" w:rsidR="00EB2A9B" w:rsidRPr="00EA0233" w:rsidRDefault="00C552A8" w:rsidP="00EA0233">
      <w:pPr>
        <w:pStyle w:val="TOCHeading"/>
        <w:jc w:val="center"/>
        <w:rPr>
          <w:rStyle w:val="IntenseEmphasis"/>
        </w:rPr>
      </w:pPr>
      <w:r w:rsidRPr="00EA0233">
        <w:rPr>
          <w:rStyle w:val="Strong"/>
          <w:sz w:val="52"/>
          <w:szCs w:val="52"/>
        </w:rPr>
        <w:t>Request For Proposal</w:t>
      </w:r>
      <w:r w:rsidR="00EA0233">
        <w:br/>
      </w:r>
    </w:p>
    <w:p w14:paraId="0B437402" w14:textId="744ACAF1" w:rsidR="00A6683B" w:rsidRDefault="00C552A8" w:rsidP="00EA0233">
      <w:pPr>
        <w:pStyle w:val="IntenseQuote"/>
        <w:ind w:left="0"/>
        <w:rPr>
          <w:rFonts w:eastAsia="Arial" w:cstheme="minorHAnsi"/>
          <w:sz w:val="44"/>
          <w:szCs w:val="44"/>
        </w:rPr>
      </w:pPr>
      <w:r w:rsidRPr="00C552A8">
        <w:t xml:space="preserve">Managed Network Operations Center </w:t>
      </w:r>
      <w:r>
        <w:t>&amp;</w:t>
      </w:r>
      <w:r w:rsidRPr="00C552A8">
        <w:t xml:space="preserve"> Managed Security Operations Center Services</w:t>
      </w:r>
      <w:r>
        <w:t xml:space="preserve"> Tender Document</w:t>
      </w:r>
    </w:p>
    <w:p w14:paraId="2F08974D" w14:textId="19B34B1C" w:rsidR="00A6683B" w:rsidRDefault="00A6683B">
      <w:pPr>
        <w:rPr>
          <w:rFonts w:eastAsia="Arial" w:cstheme="minorHAnsi"/>
          <w:sz w:val="44"/>
          <w:szCs w:val="44"/>
        </w:rPr>
      </w:pPr>
    </w:p>
    <w:p w14:paraId="42AE9156" w14:textId="77777777" w:rsidR="00C552A8" w:rsidRDefault="00C552A8">
      <w:pPr>
        <w:rPr>
          <w:rFonts w:eastAsia="Arial" w:cstheme="minorHAnsi"/>
          <w:sz w:val="44"/>
          <w:szCs w:val="44"/>
        </w:rPr>
      </w:pPr>
    </w:p>
    <w:p w14:paraId="3266245A" w14:textId="77777777" w:rsidR="00C552A8" w:rsidRDefault="00C552A8">
      <w:pPr>
        <w:rPr>
          <w:rFonts w:eastAsia="Arial" w:cstheme="minorHAnsi"/>
          <w:sz w:val="44"/>
          <w:szCs w:val="44"/>
        </w:rPr>
      </w:pPr>
    </w:p>
    <w:p w14:paraId="1CEEAB0C" w14:textId="77777777" w:rsidR="00EA0233" w:rsidRDefault="00EA0233">
      <w:pPr>
        <w:rPr>
          <w:rFonts w:eastAsia="Arial" w:cstheme="minorHAnsi"/>
          <w:sz w:val="44"/>
          <w:szCs w:val="44"/>
        </w:rPr>
      </w:pPr>
    </w:p>
    <w:sdt>
      <w:sdtPr>
        <w:rPr>
          <w:rFonts w:asciiTheme="minorHAnsi" w:eastAsiaTheme="minorEastAsia" w:hAnsiTheme="minorHAnsi" w:cstheme="minorBidi"/>
          <w:color w:val="auto"/>
          <w:sz w:val="22"/>
          <w:szCs w:val="22"/>
        </w:rPr>
        <w:id w:val="-946533772"/>
        <w:docPartObj>
          <w:docPartGallery w:val="Table of Contents"/>
          <w:docPartUnique/>
        </w:docPartObj>
      </w:sdtPr>
      <w:sdtEndPr>
        <w:rPr>
          <w:rFonts w:ascii="Times New Roman" w:eastAsia="Times New Roman" w:hAnsi="Times New Roman" w:cs="Times New Roman"/>
          <w:b/>
          <w:bCs/>
          <w:noProof/>
          <w:sz w:val="24"/>
          <w:szCs w:val="24"/>
        </w:rPr>
      </w:sdtEndPr>
      <w:sdtContent>
        <w:p w14:paraId="6229C5F6" w14:textId="77777777" w:rsidR="00332ECF" w:rsidRDefault="00332ECF">
          <w:pPr>
            <w:pStyle w:val="TOCHeading"/>
          </w:pPr>
          <w:r>
            <w:t>Contents</w:t>
          </w:r>
          <w:r w:rsidR="00F5149F">
            <w:br/>
          </w:r>
        </w:p>
        <w:p w14:paraId="6770E4CF" w14:textId="02CE19CC" w:rsidR="005139F2" w:rsidRDefault="00332ECF">
          <w:pPr>
            <w:pStyle w:val="TOC3"/>
            <w:tabs>
              <w:tab w:val="right" w:leader="dot" w:pos="1007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1893458" w:history="1">
            <w:r w:rsidR="005139F2" w:rsidRPr="00314155">
              <w:rPr>
                <w:rStyle w:val="Hyperlink"/>
                <w:rFonts w:eastAsiaTheme="majorEastAsia"/>
                <w:noProof/>
              </w:rPr>
              <w:t>1. Introduction and Background</w:t>
            </w:r>
            <w:r w:rsidR="005139F2">
              <w:rPr>
                <w:noProof/>
                <w:webHidden/>
              </w:rPr>
              <w:tab/>
            </w:r>
            <w:r w:rsidR="005139F2">
              <w:rPr>
                <w:noProof/>
                <w:webHidden/>
              </w:rPr>
              <w:fldChar w:fldCharType="begin"/>
            </w:r>
            <w:r w:rsidR="005139F2">
              <w:rPr>
                <w:noProof/>
                <w:webHidden/>
              </w:rPr>
              <w:instrText xml:space="preserve"> PAGEREF _Toc191893458 \h </w:instrText>
            </w:r>
            <w:r w:rsidR="005139F2">
              <w:rPr>
                <w:noProof/>
                <w:webHidden/>
              </w:rPr>
            </w:r>
            <w:r w:rsidR="005139F2">
              <w:rPr>
                <w:noProof/>
                <w:webHidden/>
              </w:rPr>
              <w:fldChar w:fldCharType="separate"/>
            </w:r>
            <w:r w:rsidR="005139F2">
              <w:rPr>
                <w:noProof/>
                <w:webHidden/>
              </w:rPr>
              <w:t>3</w:t>
            </w:r>
            <w:r w:rsidR="005139F2">
              <w:rPr>
                <w:noProof/>
                <w:webHidden/>
              </w:rPr>
              <w:fldChar w:fldCharType="end"/>
            </w:r>
          </w:hyperlink>
        </w:p>
        <w:p w14:paraId="7106BB0E" w14:textId="43D0F02F"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59" w:history="1">
            <w:r w:rsidRPr="00314155">
              <w:rPr>
                <w:rStyle w:val="Hyperlink"/>
                <w:rFonts w:eastAsiaTheme="majorEastAsia"/>
                <w:noProof/>
              </w:rPr>
              <w:t>2. Scope of Work</w:t>
            </w:r>
            <w:r>
              <w:rPr>
                <w:noProof/>
                <w:webHidden/>
              </w:rPr>
              <w:tab/>
            </w:r>
            <w:r>
              <w:rPr>
                <w:noProof/>
                <w:webHidden/>
              </w:rPr>
              <w:fldChar w:fldCharType="begin"/>
            </w:r>
            <w:r>
              <w:rPr>
                <w:noProof/>
                <w:webHidden/>
              </w:rPr>
              <w:instrText xml:space="preserve"> PAGEREF _Toc191893459 \h </w:instrText>
            </w:r>
            <w:r>
              <w:rPr>
                <w:noProof/>
                <w:webHidden/>
              </w:rPr>
            </w:r>
            <w:r>
              <w:rPr>
                <w:noProof/>
                <w:webHidden/>
              </w:rPr>
              <w:fldChar w:fldCharType="separate"/>
            </w:r>
            <w:r>
              <w:rPr>
                <w:noProof/>
                <w:webHidden/>
              </w:rPr>
              <w:t>4</w:t>
            </w:r>
            <w:r>
              <w:rPr>
                <w:noProof/>
                <w:webHidden/>
              </w:rPr>
              <w:fldChar w:fldCharType="end"/>
            </w:r>
          </w:hyperlink>
        </w:p>
        <w:p w14:paraId="2A42EA78" w14:textId="7336A0EE"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60" w:history="1">
            <w:r w:rsidRPr="00314155">
              <w:rPr>
                <w:rStyle w:val="Hyperlink"/>
                <w:rFonts w:eastAsiaTheme="majorEastAsia"/>
                <w:noProof/>
              </w:rPr>
              <w:t>2.1 Managed Network Operations Center (MNOC)</w:t>
            </w:r>
            <w:r>
              <w:rPr>
                <w:noProof/>
                <w:webHidden/>
              </w:rPr>
              <w:tab/>
            </w:r>
            <w:r>
              <w:rPr>
                <w:noProof/>
                <w:webHidden/>
              </w:rPr>
              <w:fldChar w:fldCharType="begin"/>
            </w:r>
            <w:r>
              <w:rPr>
                <w:noProof/>
                <w:webHidden/>
              </w:rPr>
              <w:instrText xml:space="preserve"> PAGEREF _Toc191893460 \h </w:instrText>
            </w:r>
            <w:r>
              <w:rPr>
                <w:noProof/>
                <w:webHidden/>
              </w:rPr>
            </w:r>
            <w:r>
              <w:rPr>
                <w:noProof/>
                <w:webHidden/>
              </w:rPr>
              <w:fldChar w:fldCharType="separate"/>
            </w:r>
            <w:r>
              <w:rPr>
                <w:noProof/>
                <w:webHidden/>
              </w:rPr>
              <w:t>4</w:t>
            </w:r>
            <w:r>
              <w:rPr>
                <w:noProof/>
                <w:webHidden/>
              </w:rPr>
              <w:fldChar w:fldCharType="end"/>
            </w:r>
          </w:hyperlink>
        </w:p>
        <w:p w14:paraId="6429C419" w14:textId="5DE5DB28"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61" w:history="1">
            <w:r w:rsidRPr="00314155">
              <w:rPr>
                <w:rStyle w:val="Hyperlink"/>
                <w:rFonts w:eastAsiaTheme="majorEastAsia"/>
                <w:noProof/>
              </w:rPr>
              <w:t>2.2 Managed Security Operations Center (MSOC)</w:t>
            </w:r>
            <w:r>
              <w:rPr>
                <w:noProof/>
                <w:webHidden/>
              </w:rPr>
              <w:tab/>
            </w:r>
            <w:r>
              <w:rPr>
                <w:noProof/>
                <w:webHidden/>
              </w:rPr>
              <w:fldChar w:fldCharType="begin"/>
            </w:r>
            <w:r>
              <w:rPr>
                <w:noProof/>
                <w:webHidden/>
              </w:rPr>
              <w:instrText xml:space="preserve"> PAGEREF _Toc191893461 \h </w:instrText>
            </w:r>
            <w:r>
              <w:rPr>
                <w:noProof/>
                <w:webHidden/>
              </w:rPr>
            </w:r>
            <w:r>
              <w:rPr>
                <w:noProof/>
                <w:webHidden/>
              </w:rPr>
              <w:fldChar w:fldCharType="separate"/>
            </w:r>
            <w:r>
              <w:rPr>
                <w:noProof/>
                <w:webHidden/>
              </w:rPr>
              <w:t>4</w:t>
            </w:r>
            <w:r>
              <w:rPr>
                <w:noProof/>
                <w:webHidden/>
              </w:rPr>
              <w:fldChar w:fldCharType="end"/>
            </w:r>
          </w:hyperlink>
        </w:p>
        <w:p w14:paraId="3154F05D" w14:textId="11CBEF6A"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62" w:history="1">
            <w:r w:rsidRPr="00314155">
              <w:rPr>
                <w:rStyle w:val="Hyperlink"/>
                <w:rFonts w:eastAsiaTheme="majorEastAsia"/>
                <w:noProof/>
              </w:rPr>
              <w:t>2.3 Additional Services</w:t>
            </w:r>
            <w:r>
              <w:rPr>
                <w:noProof/>
                <w:webHidden/>
              </w:rPr>
              <w:tab/>
            </w:r>
            <w:r>
              <w:rPr>
                <w:noProof/>
                <w:webHidden/>
              </w:rPr>
              <w:fldChar w:fldCharType="begin"/>
            </w:r>
            <w:r>
              <w:rPr>
                <w:noProof/>
                <w:webHidden/>
              </w:rPr>
              <w:instrText xml:space="preserve"> PAGEREF _Toc191893462 \h </w:instrText>
            </w:r>
            <w:r>
              <w:rPr>
                <w:noProof/>
                <w:webHidden/>
              </w:rPr>
            </w:r>
            <w:r>
              <w:rPr>
                <w:noProof/>
                <w:webHidden/>
              </w:rPr>
              <w:fldChar w:fldCharType="separate"/>
            </w:r>
            <w:r>
              <w:rPr>
                <w:noProof/>
                <w:webHidden/>
              </w:rPr>
              <w:t>5</w:t>
            </w:r>
            <w:r>
              <w:rPr>
                <w:noProof/>
                <w:webHidden/>
              </w:rPr>
              <w:fldChar w:fldCharType="end"/>
            </w:r>
          </w:hyperlink>
        </w:p>
        <w:p w14:paraId="2295EE3D" w14:textId="0DF0A9F4"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63" w:history="1">
            <w:r w:rsidRPr="00314155">
              <w:rPr>
                <w:rStyle w:val="Hyperlink"/>
                <w:rFonts w:eastAsiaTheme="majorEastAsia"/>
                <w:noProof/>
              </w:rPr>
              <w:t>3. Technical Requirements</w:t>
            </w:r>
            <w:r>
              <w:rPr>
                <w:noProof/>
                <w:webHidden/>
              </w:rPr>
              <w:tab/>
            </w:r>
            <w:r>
              <w:rPr>
                <w:noProof/>
                <w:webHidden/>
              </w:rPr>
              <w:fldChar w:fldCharType="begin"/>
            </w:r>
            <w:r>
              <w:rPr>
                <w:noProof/>
                <w:webHidden/>
              </w:rPr>
              <w:instrText xml:space="preserve"> PAGEREF _Toc191893463 \h </w:instrText>
            </w:r>
            <w:r>
              <w:rPr>
                <w:noProof/>
                <w:webHidden/>
              </w:rPr>
            </w:r>
            <w:r>
              <w:rPr>
                <w:noProof/>
                <w:webHidden/>
              </w:rPr>
              <w:fldChar w:fldCharType="separate"/>
            </w:r>
            <w:r>
              <w:rPr>
                <w:noProof/>
                <w:webHidden/>
              </w:rPr>
              <w:t>6</w:t>
            </w:r>
            <w:r>
              <w:rPr>
                <w:noProof/>
                <w:webHidden/>
              </w:rPr>
              <w:fldChar w:fldCharType="end"/>
            </w:r>
          </w:hyperlink>
        </w:p>
        <w:p w14:paraId="6CE15474" w14:textId="01AED6BD"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64" w:history="1">
            <w:r w:rsidRPr="00314155">
              <w:rPr>
                <w:rStyle w:val="Hyperlink"/>
                <w:rFonts w:eastAsiaTheme="majorEastAsia"/>
                <w:noProof/>
              </w:rPr>
              <w:t>4. Service Level Agreements (SLAs)</w:t>
            </w:r>
            <w:r>
              <w:rPr>
                <w:noProof/>
                <w:webHidden/>
              </w:rPr>
              <w:tab/>
            </w:r>
            <w:r>
              <w:rPr>
                <w:noProof/>
                <w:webHidden/>
              </w:rPr>
              <w:fldChar w:fldCharType="begin"/>
            </w:r>
            <w:r>
              <w:rPr>
                <w:noProof/>
                <w:webHidden/>
              </w:rPr>
              <w:instrText xml:space="preserve"> PAGEREF _Toc191893464 \h </w:instrText>
            </w:r>
            <w:r>
              <w:rPr>
                <w:noProof/>
                <w:webHidden/>
              </w:rPr>
            </w:r>
            <w:r>
              <w:rPr>
                <w:noProof/>
                <w:webHidden/>
              </w:rPr>
              <w:fldChar w:fldCharType="separate"/>
            </w:r>
            <w:r>
              <w:rPr>
                <w:noProof/>
                <w:webHidden/>
              </w:rPr>
              <w:t>6</w:t>
            </w:r>
            <w:r>
              <w:rPr>
                <w:noProof/>
                <w:webHidden/>
              </w:rPr>
              <w:fldChar w:fldCharType="end"/>
            </w:r>
          </w:hyperlink>
        </w:p>
        <w:p w14:paraId="1B71CC1F" w14:textId="1FDF275E"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65" w:history="1">
            <w:r w:rsidRPr="00314155">
              <w:rPr>
                <w:rStyle w:val="Hyperlink"/>
                <w:rFonts w:eastAsiaTheme="majorEastAsia"/>
                <w:noProof/>
              </w:rPr>
              <w:t>4.1 Uptime and Availability</w:t>
            </w:r>
            <w:r>
              <w:rPr>
                <w:noProof/>
                <w:webHidden/>
              </w:rPr>
              <w:tab/>
            </w:r>
            <w:r>
              <w:rPr>
                <w:noProof/>
                <w:webHidden/>
              </w:rPr>
              <w:fldChar w:fldCharType="begin"/>
            </w:r>
            <w:r>
              <w:rPr>
                <w:noProof/>
                <w:webHidden/>
              </w:rPr>
              <w:instrText xml:space="preserve"> PAGEREF _Toc191893465 \h </w:instrText>
            </w:r>
            <w:r>
              <w:rPr>
                <w:noProof/>
                <w:webHidden/>
              </w:rPr>
            </w:r>
            <w:r>
              <w:rPr>
                <w:noProof/>
                <w:webHidden/>
              </w:rPr>
              <w:fldChar w:fldCharType="separate"/>
            </w:r>
            <w:r>
              <w:rPr>
                <w:noProof/>
                <w:webHidden/>
              </w:rPr>
              <w:t>6</w:t>
            </w:r>
            <w:r>
              <w:rPr>
                <w:noProof/>
                <w:webHidden/>
              </w:rPr>
              <w:fldChar w:fldCharType="end"/>
            </w:r>
          </w:hyperlink>
        </w:p>
        <w:p w14:paraId="77B07CFA" w14:textId="4D0CABEB"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66" w:history="1">
            <w:r w:rsidRPr="00314155">
              <w:rPr>
                <w:rStyle w:val="Hyperlink"/>
                <w:rFonts w:eastAsiaTheme="majorEastAsia"/>
                <w:noProof/>
              </w:rPr>
              <w:t>4.2 Incident Response and Resolution Times</w:t>
            </w:r>
            <w:r>
              <w:rPr>
                <w:noProof/>
                <w:webHidden/>
              </w:rPr>
              <w:tab/>
            </w:r>
            <w:r>
              <w:rPr>
                <w:noProof/>
                <w:webHidden/>
              </w:rPr>
              <w:fldChar w:fldCharType="begin"/>
            </w:r>
            <w:r>
              <w:rPr>
                <w:noProof/>
                <w:webHidden/>
              </w:rPr>
              <w:instrText xml:space="preserve"> PAGEREF _Toc191893466 \h </w:instrText>
            </w:r>
            <w:r>
              <w:rPr>
                <w:noProof/>
                <w:webHidden/>
              </w:rPr>
            </w:r>
            <w:r>
              <w:rPr>
                <w:noProof/>
                <w:webHidden/>
              </w:rPr>
              <w:fldChar w:fldCharType="separate"/>
            </w:r>
            <w:r>
              <w:rPr>
                <w:noProof/>
                <w:webHidden/>
              </w:rPr>
              <w:t>6</w:t>
            </w:r>
            <w:r>
              <w:rPr>
                <w:noProof/>
                <w:webHidden/>
              </w:rPr>
              <w:fldChar w:fldCharType="end"/>
            </w:r>
          </w:hyperlink>
        </w:p>
        <w:p w14:paraId="48B77A1B" w14:textId="0AE968D0"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67" w:history="1">
            <w:r w:rsidRPr="00314155">
              <w:rPr>
                <w:rStyle w:val="Hyperlink"/>
                <w:rFonts w:eastAsiaTheme="majorEastAsia"/>
                <w:noProof/>
              </w:rPr>
              <w:t>4.3 Disaster Recovery and Business Continuity</w:t>
            </w:r>
            <w:r>
              <w:rPr>
                <w:noProof/>
                <w:webHidden/>
              </w:rPr>
              <w:tab/>
            </w:r>
            <w:r>
              <w:rPr>
                <w:noProof/>
                <w:webHidden/>
              </w:rPr>
              <w:fldChar w:fldCharType="begin"/>
            </w:r>
            <w:r>
              <w:rPr>
                <w:noProof/>
                <w:webHidden/>
              </w:rPr>
              <w:instrText xml:space="preserve"> PAGEREF _Toc191893467 \h </w:instrText>
            </w:r>
            <w:r>
              <w:rPr>
                <w:noProof/>
                <w:webHidden/>
              </w:rPr>
            </w:r>
            <w:r>
              <w:rPr>
                <w:noProof/>
                <w:webHidden/>
              </w:rPr>
              <w:fldChar w:fldCharType="separate"/>
            </w:r>
            <w:r>
              <w:rPr>
                <w:noProof/>
                <w:webHidden/>
              </w:rPr>
              <w:t>7</w:t>
            </w:r>
            <w:r>
              <w:rPr>
                <w:noProof/>
                <w:webHidden/>
              </w:rPr>
              <w:fldChar w:fldCharType="end"/>
            </w:r>
          </w:hyperlink>
        </w:p>
        <w:p w14:paraId="41D43E3E" w14:textId="77768410" w:rsidR="005139F2" w:rsidRDefault="005139F2">
          <w:pPr>
            <w:pStyle w:val="TOC3"/>
            <w:tabs>
              <w:tab w:val="left" w:pos="1200"/>
              <w:tab w:val="right" w:leader="dot" w:pos="10070"/>
            </w:tabs>
            <w:rPr>
              <w:rFonts w:asciiTheme="minorHAnsi" w:eastAsiaTheme="minorEastAsia" w:hAnsiTheme="minorHAnsi" w:cstheme="minorBidi"/>
              <w:noProof/>
              <w:kern w:val="2"/>
              <w14:ligatures w14:val="standardContextual"/>
            </w:rPr>
          </w:pPr>
          <w:hyperlink w:anchor="_Toc191893468" w:history="1">
            <w:r w:rsidRPr="00314155">
              <w:rPr>
                <w:rStyle w:val="Hyperlink"/>
                <w:rFonts w:eastAsiaTheme="majorEastAsia"/>
                <w:noProof/>
              </w:rPr>
              <w:t>4.4</w:t>
            </w:r>
            <w:r>
              <w:rPr>
                <w:rFonts w:asciiTheme="minorHAnsi" w:eastAsiaTheme="minorEastAsia" w:hAnsiTheme="minorHAnsi" w:cstheme="minorBidi"/>
                <w:noProof/>
                <w:kern w:val="2"/>
                <w14:ligatures w14:val="standardContextual"/>
              </w:rPr>
              <w:tab/>
            </w:r>
            <w:r w:rsidRPr="00314155">
              <w:rPr>
                <w:rStyle w:val="Hyperlink"/>
                <w:rFonts w:eastAsiaTheme="majorEastAsia"/>
                <w:noProof/>
              </w:rPr>
              <w:t>Compliance and Reporting</w:t>
            </w:r>
            <w:r>
              <w:rPr>
                <w:noProof/>
                <w:webHidden/>
              </w:rPr>
              <w:tab/>
            </w:r>
            <w:r>
              <w:rPr>
                <w:noProof/>
                <w:webHidden/>
              </w:rPr>
              <w:fldChar w:fldCharType="begin"/>
            </w:r>
            <w:r>
              <w:rPr>
                <w:noProof/>
                <w:webHidden/>
              </w:rPr>
              <w:instrText xml:space="preserve"> PAGEREF _Toc191893468 \h </w:instrText>
            </w:r>
            <w:r>
              <w:rPr>
                <w:noProof/>
                <w:webHidden/>
              </w:rPr>
            </w:r>
            <w:r>
              <w:rPr>
                <w:noProof/>
                <w:webHidden/>
              </w:rPr>
              <w:fldChar w:fldCharType="separate"/>
            </w:r>
            <w:r>
              <w:rPr>
                <w:noProof/>
                <w:webHidden/>
              </w:rPr>
              <w:t>7</w:t>
            </w:r>
            <w:r>
              <w:rPr>
                <w:noProof/>
                <w:webHidden/>
              </w:rPr>
              <w:fldChar w:fldCharType="end"/>
            </w:r>
          </w:hyperlink>
        </w:p>
        <w:p w14:paraId="0664A19A" w14:textId="7D0982B3"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69" w:history="1">
            <w:r w:rsidRPr="00314155">
              <w:rPr>
                <w:rStyle w:val="Hyperlink"/>
                <w:rFonts w:eastAsiaTheme="majorEastAsia"/>
                <w:noProof/>
              </w:rPr>
              <w:t>4.5 Escalation Procedures</w:t>
            </w:r>
            <w:r>
              <w:rPr>
                <w:noProof/>
                <w:webHidden/>
              </w:rPr>
              <w:tab/>
            </w:r>
            <w:r>
              <w:rPr>
                <w:noProof/>
                <w:webHidden/>
              </w:rPr>
              <w:fldChar w:fldCharType="begin"/>
            </w:r>
            <w:r>
              <w:rPr>
                <w:noProof/>
                <w:webHidden/>
              </w:rPr>
              <w:instrText xml:space="preserve"> PAGEREF _Toc191893469 \h </w:instrText>
            </w:r>
            <w:r>
              <w:rPr>
                <w:noProof/>
                <w:webHidden/>
              </w:rPr>
            </w:r>
            <w:r>
              <w:rPr>
                <w:noProof/>
                <w:webHidden/>
              </w:rPr>
              <w:fldChar w:fldCharType="separate"/>
            </w:r>
            <w:r>
              <w:rPr>
                <w:noProof/>
                <w:webHidden/>
              </w:rPr>
              <w:t>7</w:t>
            </w:r>
            <w:r>
              <w:rPr>
                <w:noProof/>
                <w:webHidden/>
              </w:rPr>
              <w:fldChar w:fldCharType="end"/>
            </w:r>
          </w:hyperlink>
        </w:p>
        <w:p w14:paraId="5D983296" w14:textId="132AACC5"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70" w:history="1">
            <w:r w:rsidRPr="00314155">
              <w:rPr>
                <w:rStyle w:val="Hyperlink"/>
                <w:rFonts w:eastAsiaTheme="majorEastAsia"/>
                <w:noProof/>
              </w:rPr>
              <w:t>5. Vendor Qualifications</w:t>
            </w:r>
            <w:r>
              <w:rPr>
                <w:noProof/>
                <w:webHidden/>
              </w:rPr>
              <w:tab/>
            </w:r>
            <w:r>
              <w:rPr>
                <w:noProof/>
                <w:webHidden/>
              </w:rPr>
              <w:fldChar w:fldCharType="begin"/>
            </w:r>
            <w:r>
              <w:rPr>
                <w:noProof/>
                <w:webHidden/>
              </w:rPr>
              <w:instrText xml:space="preserve"> PAGEREF _Toc191893470 \h </w:instrText>
            </w:r>
            <w:r>
              <w:rPr>
                <w:noProof/>
                <w:webHidden/>
              </w:rPr>
            </w:r>
            <w:r>
              <w:rPr>
                <w:noProof/>
                <w:webHidden/>
              </w:rPr>
              <w:fldChar w:fldCharType="separate"/>
            </w:r>
            <w:r>
              <w:rPr>
                <w:noProof/>
                <w:webHidden/>
              </w:rPr>
              <w:t>7</w:t>
            </w:r>
            <w:r>
              <w:rPr>
                <w:noProof/>
                <w:webHidden/>
              </w:rPr>
              <w:fldChar w:fldCharType="end"/>
            </w:r>
          </w:hyperlink>
        </w:p>
        <w:p w14:paraId="32D993B0" w14:textId="20DF2715"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71" w:history="1">
            <w:r w:rsidRPr="00314155">
              <w:rPr>
                <w:rStyle w:val="Hyperlink"/>
                <w:rFonts w:eastAsiaTheme="majorEastAsia"/>
                <w:noProof/>
              </w:rPr>
              <w:t>6. Compliance and Security Standards</w:t>
            </w:r>
            <w:r>
              <w:rPr>
                <w:noProof/>
                <w:webHidden/>
              </w:rPr>
              <w:tab/>
            </w:r>
            <w:r>
              <w:rPr>
                <w:noProof/>
                <w:webHidden/>
              </w:rPr>
              <w:fldChar w:fldCharType="begin"/>
            </w:r>
            <w:r>
              <w:rPr>
                <w:noProof/>
                <w:webHidden/>
              </w:rPr>
              <w:instrText xml:space="preserve"> PAGEREF _Toc191893471 \h </w:instrText>
            </w:r>
            <w:r>
              <w:rPr>
                <w:noProof/>
                <w:webHidden/>
              </w:rPr>
            </w:r>
            <w:r>
              <w:rPr>
                <w:noProof/>
                <w:webHidden/>
              </w:rPr>
              <w:fldChar w:fldCharType="separate"/>
            </w:r>
            <w:r>
              <w:rPr>
                <w:noProof/>
                <w:webHidden/>
              </w:rPr>
              <w:t>7</w:t>
            </w:r>
            <w:r>
              <w:rPr>
                <w:noProof/>
                <w:webHidden/>
              </w:rPr>
              <w:fldChar w:fldCharType="end"/>
            </w:r>
          </w:hyperlink>
        </w:p>
        <w:p w14:paraId="60038FB1" w14:textId="7436F863"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72" w:history="1">
            <w:r w:rsidRPr="00314155">
              <w:rPr>
                <w:rStyle w:val="Hyperlink"/>
                <w:rFonts w:eastAsiaTheme="majorEastAsia"/>
                <w:noProof/>
              </w:rPr>
              <w:t>8. Submission Guidelines</w:t>
            </w:r>
            <w:r>
              <w:rPr>
                <w:noProof/>
                <w:webHidden/>
              </w:rPr>
              <w:tab/>
            </w:r>
            <w:r>
              <w:rPr>
                <w:noProof/>
                <w:webHidden/>
              </w:rPr>
              <w:fldChar w:fldCharType="begin"/>
            </w:r>
            <w:r>
              <w:rPr>
                <w:noProof/>
                <w:webHidden/>
              </w:rPr>
              <w:instrText xml:space="preserve"> PAGEREF _Toc191893472 \h </w:instrText>
            </w:r>
            <w:r>
              <w:rPr>
                <w:noProof/>
                <w:webHidden/>
              </w:rPr>
            </w:r>
            <w:r>
              <w:rPr>
                <w:noProof/>
                <w:webHidden/>
              </w:rPr>
              <w:fldChar w:fldCharType="separate"/>
            </w:r>
            <w:r>
              <w:rPr>
                <w:noProof/>
                <w:webHidden/>
              </w:rPr>
              <w:t>8</w:t>
            </w:r>
            <w:r>
              <w:rPr>
                <w:noProof/>
                <w:webHidden/>
              </w:rPr>
              <w:fldChar w:fldCharType="end"/>
            </w:r>
          </w:hyperlink>
        </w:p>
        <w:p w14:paraId="03AC6175" w14:textId="730F2F89"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73" w:history="1">
            <w:r w:rsidRPr="00314155">
              <w:rPr>
                <w:rStyle w:val="Hyperlink"/>
                <w:rFonts w:eastAsiaTheme="majorEastAsia"/>
                <w:noProof/>
              </w:rPr>
              <w:t>9. Existing Environment and Site Breakdown</w:t>
            </w:r>
            <w:r>
              <w:rPr>
                <w:noProof/>
                <w:webHidden/>
              </w:rPr>
              <w:tab/>
            </w:r>
            <w:r>
              <w:rPr>
                <w:noProof/>
                <w:webHidden/>
              </w:rPr>
              <w:fldChar w:fldCharType="begin"/>
            </w:r>
            <w:r>
              <w:rPr>
                <w:noProof/>
                <w:webHidden/>
              </w:rPr>
              <w:instrText xml:space="preserve"> PAGEREF _Toc191893473 \h </w:instrText>
            </w:r>
            <w:r>
              <w:rPr>
                <w:noProof/>
                <w:webHidden/>
              </w:rPr>
            </w:r>
            <w:r>
              <w:rPr>
                <w:noProof/>
                <w:webHidden/>
              </w:rPr>
              <w:fldChar w:fldCharType="separate"/>
            </w:r>
            <w:r>
              <w:rPr>
                <w:noProof/>
                <w:webHidden/>
              </w:rPr>
              <w:t>8</w:t>
            </w:r>
            <w:r>
              <w:rPr>
                <w:noProof/>
                <w:webHidden/>
              </w:rPr>
              <w:fldChar w:fldCharType="end"/>
            </w:r>
          </w:hyperlink>
        </w:p>
        <w:p w14:paraId="0723650D" w14:textId="0E1493B1"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74" w:history="1">
            <w:r w:rsidRPr="00314155">
              <w:rPr>
                <w:rStyle w:val="Hyperlink"/>
                <w:rFonts w:eastAsiaTheme="majorEastAsia"/>
                <w:noProof/>
              </w:rPr>
              <w:t>9.1 Site Breakdown</w:t>
            </w:r>
            <w:r>
              <w:rPr>
                <w:noProof/>
                <w:webHidden/>
              </w:rPr>
              <w:tab/>
            </w:r>
            <w:r>
              <w:rPr>
                <w:noProof/>
                <w:webHidden/>
              </w:rPr>
              <w:fldChar w:fldCharType="begin"/>
            </w:r>
            <w:r>
              <w:rPr>
                <w:noProof/>
                <w:webHidden/>
              </w:rPr>
              <w:instrText xml:space="preserve"> PAGEREF _Toc191893474 \h </w:instrText>
            </w:r>
            <w:r>
              <w:rPr>
                <w:noProof/>
                <w:webHidden/>
              </w:rPr>
            </w:r>
            <w:r>
              <w:rPr>
                <w:noProof/>
                <w:webHidden/>
              </w:rPr>
              <w:fldChar w:fldCharType="separate"/>
            </w:r>
            <w:r>
              <w:rPr>
                <w:noProof/>
                <w:webHidden/>
              </w:rPr>
              <w:t>8</w:t>
            </w:r>
            <w:r>
              <w:rPr>
                <w:noProof/>
                <w:webHidden/>
              </w:rPr>
              <w:fldChar w:fldCharType="end"/>
            </w:r>
          </w:hyperlink>
        </w:p>
        <w:p w14:paraId="73E86941" w14:textId="3510752B"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75" w:history="1">
            <w:r w:rsidRPr="00314155">
              <w:rPr>
                <w:rStyle w:val="Hyperlink"/>
                <w:rFonts w:eastAsiaTheme="majorEastAsia"/>
                <w:noProof/>
              </w:rPr>
              <w:t>9.2 Current Topology and Services</w:t>
            </w:r>
            <w:r>
              <w:rPr>
                <w:noProof/>
                <w:webHidden/>
              </w:rPr>
              <w:tab/>
            </w:r>
            <w:r>
              <w:rPr>
                <w:noProof/>
                <w:webHidden/>
              </w:rPr>
              <w:fldChar w:fldCharType="begin"/>
            </w:r>
            <w:r>
              <w:rPr>
                <w:noProof/>
                <w:webHidden/>
              </w:rPr>
              <w:instrText xml:space="preserve"> PAGEREF _Toc191893475 \h </w:instrText>
            </w:r>
            <w:r>
              <w:rPr>
                <w:noProof/>
                <w:webHidden/>
              </w:rPr>
            </w:r>
            <w:r>
              <w:rPr>
                <w:noProof/>
                <w:webHidden/>
              </w:rPr>
              <w:fldChar w:fldCharType="separate"/>
            </w:r>
            <w:r>
              <w:rPr>
                <w:noProof/>
                <w:webHidden/>
              </w:rPr>
              <w:t>9</w:t>
            </w:r>
            <w:r>
              <w:rPr>
                <w:noProof/>
                <w:webHidden/>
              </w:rPr>
              <w:fldChar w:fldCharType="end"/>
            </w:r>
          </w:hyperlink>
        </w:p>
        <w:p w14:paraId="361AD208" w14:textId="65652C84"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76" w:history="1">
            <w:r w:rsidRPr="00314155">
              <w:rPr>
                <w:rStyle w:val="Hyperlink"/>
                <w:rFonts w:eastAsiaTheme="majorEastAsia"/>
                <w:noProof/>
              </w:rPr>
              <w:t>9.3 Services for All Sites</w:t>
            </w:r>
            <w:r>
              <w:rPr>
                <w:noProof/>
                <w:webHidden/>
              </w:rPr>
              <w:tab/>
            </w:r>
            <w:r>
              <w:rPr>
                <w:noProof/>
                <w:webHidden/>
              </w:rPr>
              <w:fldChar w:fldCharType="begin"/>
            </w:r>
            <w:r>
              <w:rPr>
                <w:noProof/>
                <w:webHidden/>
              </w:rPr>
              <w:instrText xml:space="preserve"> PAGEREF _Toc191893476 \h </w:instrText>
            </w:r>
            <w:r>
              <w:rPr>
                <w:noProof/>
                <w:webHidden/>
              </w:rPr>
            </w:r>
            <w:r>
              <w:rPr>
                <w:noProof/>
                <w:webHidden/>
              </w:rPr>
              <w:fldChar w:fldCharType="separate"/>
            </w:r>
            <w:r>
              <w:rPr>
                <w:noProof/>
                <w:webHidden/>
              </w:rPr>
              <w:t>10</w:t>
            </w:r>
            <w:r>
              <w:rPr>
                <w:noProof/>
                <w:webHidden/>
              </w:rPr>
              <w:fldChar w:fldCharType="end"/>
            </w:r>
          </w:hyperlink>
        </w:p>
        <w:p w14:paraId="3DF85AA4" w14:textId="74AE2EAD"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77" w:history="1">
            <w:r w:rsidRPr="00314155">
              <w:rPr>
                <w:rStyle w:val="Hyperlink"/>
                <w:rFonts w:eastAsiaTheme="majorEastAsia"/>
                <w:noProof/>
              </w:rPr>
              <w:t>10. Monitoring Platform Capabilities</w:t>
            </w:r>
            <w:r>
              <w:rPr>
                <w:noProof/>
                <w:webHidden/>
              </w:rPr>
              <w:tab/>
            </w:r>
            <w:r>
              <w:rPr>
                <w:noProof/>
                <w:webHidden/>
              </w:rPr>
              <w:fldChar w:fldCharType="begin"/>
            </w:r>
            <w:r>
              <w:rPr>
                <w:noProof/>
                <w:webHidden/>
              </w:rPr>
              <w:instrText xml:space="preserve"> PAGEREF _Toc191893477 \h </w:instrText>
            </w:r>
            <w:r>
              <w:rPr>
                <w:noProof/>
                <w:webHidden/>
              </w:rPr>
            </w:r>
            <w:r>
              <w:rPr>
                <w:noProof/>
                <w:webHidden/>
              </w:rPr>
              <w:fldChar w:fldCharType="separate"/>
            </w:r>
            <w:r>
              <w:rPr>
                <w:noProof/>
                <w:webHidden/>
              </w:rPr>
              <w:t>10</w:t>
            </w:r>
            <w:r>
              <w:rPr>
                <w:noProof/>
                <w:webHidden/>
              </w:rPr>
              <w:fldChar w:fldCharType="end"/>
            </w:r>
          </w:hyperlink>
        </w:p>
        <w:p w14:paraId="7BBA2855" w14:textId="4452CFE7"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78" w:history="1">
            <w:r w:rsidRPr="00314155">
              <w:rPr>
                <w:rStyle w:val="Hyperlink"/>
                <w:rFonts w:eastAsiaTheme="majorEastAsia"/>
                <w:noProof/>
              </w:rPr>
              <w:t>10.1 Core Capabilities</w:t>
            </w:r>
            <w:r>
              <w:rPr>
                <w:noProof/>
                <w:webHidden/>
              </w:rPr>
              <w:tab/>
            </w:r>
            <w:r>
              <w:rPr>
                <w:noProof/>
                <w:webHidden/>
              </w:rPr>
              <w:fldChar w:fldCharType="begin"/>
            </w:r>
            <w:r>
              <w:rPr>
                <w:noProof/>
                <w:webHidden/>
              </w:rPr>
              <w:instrText xml:space="preserve"> PAGEREF _Toc191893478 \h </w:instrText>
            </w:r>
            <w:r>
              <w:rPr>
                <w:noProof/>
                <w:webHidden/>
              </w:rPr>
            </w:r>
            <w:r>
              <w:rPr>
                <w:noProof/>
                <w:webHidden/>
              </w:rPr>
              <w:fldChar w:fldCharType="separate"/>
            </w:r>
            <w:r>
              <w:rPr>
                <w:noProof/>
                <w:webHidden/>
              </w:rPr>
              <w:t>10</w:t>
            </w:r>
            <w:r>
              <w:rPr>
                <w:noProof/>
                <w:webHidden/>
              </w:rPr>
              <w:fldChar w:fldCharType="end"/>
            </w:r>
          </w:hyperlink>
        </w:p>
        <w:p w14:paraId="2FAA2E28" w14:textId="40BB7CB5"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79" w:history="1">
            <w:r w:rsidRPr="00314155">
              <w:rPr>
                <w:rStyle w:val="Hyperlink"/>
                <w:rFonts w:eastAsiaTheme="majorEastAsia"/>
                <w:noProof/>
              </w:rPr>
              <w:t>10.2 Advanced Features and Best Practices</w:t>
            </w:r>
            <w:r>
              <w:rPr>
                <w:noProof/>
                <w:webHidden/>
              </w:rPr>
              <w:tab/>
            </w:r>
            <w:r>
              <w:rPr>
                <w:noProof/>
                <w:webHidden/>
              </w:rPr>
              <w:fldChar w:fldCharType="begin"/>
            </w:r>
            <w:r>
              <w:rPr>
                <w:noProof/>
                <w:webHidden/>
              </w:rPr>
              <w:instrText xml:space="preserve"> PAGEREF _Toc191893479 \h </w:instrText>
            </w:r>
            <w:r>
              <w:rPr>
                <w:noProof/>
                <w:webHidden/>
              </w:rPr>
            </w:r>
            <w:r>
              <w:rPr>
                <w:noProof/>
                <w:webHidden/>
              </w:rPr>
              <w:fldChar w:fldCharType="separate"/>
            </w:r>
            <w:r>
              <w:rPr>
                <w:noProof/>
                <w:webHidden/>
              </w:rPr>
              <w:t>11</w:t>
            </w:r>
            <w:r>
              <w:rPr>
                <w:noProof/>
                <w:webHidden/>
              </w:rPr>
              <w:fldChar w:fldCharType="end"/>
            </w:r>
          </w:hyperlink>
        </w:p>
        <w:p w14:paraId="2EB96FF3" w14:textId="2A370031"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80" w:history="1">
            <w:r w:rsidRPr="00314155">
              <w:rPr>
                <w:rStyle w:val="Hyperlink"/>
                <w:rFonts w:eastAsiaTheme="majorEastAsia"/>
                <w:noProof/>
              </w:rPr>
              <w:t>10.3 Additional Functionalities</w:t>
            </w:r>
            <w:r>
              <w:rPr>
                <w:noProof/>
                <w:webHidden/>
              </w:rPr>
              <w:tab/>
            </w:r>
            <w:r>
              <w:rPr>
                <w:noProof/>
                <w:webHidden/>
              </w:rPr>
              <w:fldChar w:fldCharType="begin"/>
            </w:r>
            <w:r>
              <w:rPr>
                <w:noProof/>
                <w:webHidden/>
              </w:rPr>
              <w:instrText xml:space="preserve"> PAGEREF _Toc191893480 \h </w:instrText>
            </w:r>
            <w:r>
              <w:rPr>
                <w:noProof/>
                <w:webHidden/>
              </w:rPr>
            </w:r>
            <w:r>
              <w:rPr>
                <w:noProof/>
                <w:webHidden/>
              </w:rPr>
              <w:fldChar w:fldCharType="separate"/>
            </w:r>
            <w:r>
              <w:rPr>
                <w:noProof/>
                <w:webHidden/>
              </w:rPr>
              <w:t>12</w:t>
            </w:r>
            <w:r>
              <w:rPr>
                <w:noProof/>
                <w:webHidden/>
              </w:rPr>
              <w:fldChar w:fldCharType="end"/>
            </w:r>
          </w:hyperlink>
        </w:p>
        <w:p w14:paraId="1B0898B1" w14:textId="308E76A6"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81" w:history="1">
            <w:r w:rsidRPr="00314155">
              <w:rPr>
                <w:rStyle w:val="Hyperlink"/>
                <w:rFonts w:eastAsiaTheme="majorEastAsia"/>
                <w:noProof/>
              </w:rPr>
              <w:t>10.4 Vendor Support and Platform Scalability</w:t>
            </w:r>
            <w:r>
              <w:rPr>
                <w:noProof/>
                <w:webHidden/>
              </w:rPr>
              <w:tab/>
            </w:r>
            <w:r>
              <w:rPr>
                <w:noProof/>
                <w:webHidden/>
              </w:rPr>
              <w:fldChar w:fldCharType="begin"/>
            </w:r>
            <w:r>
              <w:rPr>
                <w:noProof/>
                <w:webHidden/>
              </w:rPr>
              <w:instrText xml:space="preserve"> PAGEREF _Toc191893481 \h </w:instrText>
            </w:r>
            <w:r>
              <w:rPr>
                <w:noProof/>
                <w:webHidden/>
              </w:rPr>
            </w:r>
            <w:r>
              <w:rPr>
                <w:noProof/>
                <w:webHidden/>
              </w:rPr>
              <w:fldChar w:fldCharType="separate"/>
            </w:r>
            <w:r>
              <w:rPr>
                <w:noProof/>
                <w:webHidden/>
              </w:rPr>
              <w:t>12</w:t>
            </w:r>
            <w:r>
              <w:rPr>
                <w:noProof/>
                <w:webHidden/>
              </w:rPr>
              <w:fldChar w:fldCharType="end"/>
            </w:r>
          </w:hyperlink>
        </w:p>
        <w:p w14:paraId="33D688DB" w14:textId="664AACE8"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82" w:history="1">
            <w:r w:rsidRPr="00314155">
              <w:rPr>
                <w:rStyle w:val="Hyperlink"/>
                <w:rFonts w:eastAsiaTheme="majorEastAsia"/>
                <w:noProof/>
              </w:rPr>
              <w:t>11. Reports and Dashboards</w:t>
            </w:r>
            <w:r>
              <w:rPr>
                <w:noProof/>
                <w:webHidden/>
              </w:rPr>
              <w:tab/>
            </w:r>
            <w:r>
              <w:rPr>
                <w:noProof/>
                <w:webHidden/>
              </w:rPr>
              <w:fldChar w:fldCharType="begin"/>
            </w:r>
            <w:r>
              <w:rPr>
                <w:noProof/>
                <w:webHidden/>
              </w:rPr>
              <w:instrText xml:space="preserve"> PAGEREF _Toc191893482 \h </w:instrText>
            </w:r>
            <w:r>
              <w:rPr>
                <w:noProof/>
                <w:webHidden/>
              </w:rPr>
            </w:r>
            <w:r>
              <w:rPr>
                <w:noProof/>
                <w:webHidden/>
              </w:rPr>
              <w:fldChar w:fldCharType="separate"/>
            </w:r>
            <w:r>
              <w:rPr>
                <w:noProof/>
                <w:webHidden/>
              </w:rPr>
              <w:t>12</w:t>
            </w:r>
            <w:r>
              <w:rPr>
                <w:noProof/>
                <w:webHidden/>
              </w:rPr>
              <w:fldChar w:fldCharType="end"/>
            </w:r>
          </w:hyperlink>
        </w:p>
        <w:p w14:paraId="484D0922" w14:textId="56C47703"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83" w:history="1">
            <w:r w:rsidRPr="00314155">
              <w:rPr>
                <w:rStyle w:val="Hyperlink"/>
                <w:rFonts w:eastAsiaTheme="majorEastAsia"/>
                <w:noProof/>
              </w:rPr>
              <w:t>11.1 Types of Reports</w:t>
            </w:r>
            <w:r>
              <w:rPr>
                <w:noProof/>
                <w:webHidden/>
              </w:rPr>
              <w:tab/>
            </w:r>
            <w:r>
              <w:rPr>
                <w:noProof/>
                <w:webHidden/>
              </w:rPr>
              <w:fldChar w:fldCharType="begin"/>
            </w:r>
            <w:r>
              <w:rPr>
                <w:noProof/>
                <w:webHidden/>
              </w:rPr>
              <w:instrText xml:space="preserve"> PAGEREF _Toc191893483 \h </w:instrText>
            </w:r>
            <w:r>
              <w:rPr>
                <w:noProof/>
                <w:webHidden/>
              </w:rPr>
            </w:r>
            <w:r>
              <w:rPr>
                <w:noProof/>
                <w:webHidden/>
              </w:rPr>
              <w:fldChar w:fldCharType="separate"/>
            </w:r>
            <w:r>
              <w:rPr>
                <w:noProof/>
                <w:webHidden/>
              </w:rPr>
              <w:t>13</w:t>
            </w:r>
            <w:r>
              <w:rPr>
                <w:noProof/>
                <w:webHidden/>
              </w:rPr>
              <w:fldChar w:fldCharType="end"/>
            </w:r>
          </w:hyperlink>
        </w:p>
        <w:p w14:paraId="4E643372" w14:textId="606BE479"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84" w:history="1">
            <w:r w:rsidRPr="00314155">
              <w:rPr>
                <w:rStyle w:val="Hyperlink"/>
                <w:rFonts w:eastAsiaTheme="majorEastAsia"/>
                <w:noProof/>
              </w:rPr>
              <w:t>11.1.1 Incident Management Reports</w:t>
            </w:r>
            <w:r>
              <w:rPr>
                <w:noProof/>
                <w:webHidden/>
              </w:rPr>
              <w:tab/>
            </w:r>
            <w:r>
              <w:rPr>
                <w:noProof/>
                <w:webHidden/>
              </w:rPr>
              <w:fldChar w:fldCharType="begin"/>
            </w:r>
            <w:r>
              <w:rPr>
                <w:noProof/>
                <w:webHidden/>
              </w:rPr>
              <w:instrText xml:space="preserve"> PAGEREF _Toc191893484 \h </w:instrText>
            </w:r>
            <w:r>
              <w:rPr>
                <w:noProof/>
                <w:webHidden/>
              </w:rPr>
            </w:r>
            <w:r>
              <w:rPr>
                <w:noProof/>
                <w:webHidden/>
              </w:rPr>
              <w:fldChar w:fldCharType="separate"/>
            </w:r>
            <w:r>
              <w:rPr>
                <w:noProof/>
                <w:webHidden/>
              </w:rPr>
              <w:t>13</w:t>
            </w:r>
            <w:r>
              <w:rPr>
                <w:noProof/>
                <w:webHidden/>
              </w:rPr>
              <w:fldChar w:fldCharType="end"/>
            </w:r>
          </w:hyperlink>
        </w:p>
        <w:p w14:paraId="75166AF0" w14:textId="07DDC998"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85" w:history="1">
            <w:r w:rsidRPr="00314155">
              <w:rPr>
                <w:rStyle w:val="Hyperlink"/>
                <w:rFonts w:eastAsiaTheme="majorEastAsia"/>
                <w:noProof/>
              </w:rPr>
              <w:t>11.1.2 Performance and Availability Reports</w:t>
            </w:r>
            <w:r>
              <w:rPr>
                <w:noProof/>
                <w:webHidden/>
              </w:rPr>
              <w:tab/>
            </w:r>
            <w:r>
              <w:rPr>
                <w:noProof/>
                <w:webHidden/>
              </w:rPr>
              <w:fldChar w:fldCharType="begin"/>
            </w:r>
            <w:r>
              <w:rPr>
                <w:noProof/>
                <w:webHidden/>
              </w:rPr>
              <w:instrText xml:space="preserve"> PAGEREF _Toc191893485 \h </w:instrText>
            </w:r>
            <w:r>
              <w:rPr>
                <w:noProof/>
                <w:webHidden/>
              </w:rPr>
            </w:r>
            <w:r>
              <w:rPr>
                <w:noProof/>
                <w:webHidden/>
              </w:rPr>
              <w:fldChar w:fldCharType="separate"/>
            </w:r>
            <w:r>
              <w:rPr>
                <w:noProof/>
                <w:webHidden/>
              </w:rPr>
              <w:t>13</w:t>
            </w:r>
            <w:r>
              <w:rPr>
                <w:noProof/>
                <w:webHidden/>
              </w:rPr>
              <w:fldChar w:fldCharType="end"/>
            </w:r>
          </w:hyperlink>
        </w:p>
        <w:p w14:paraId="781160CF" w14:textId="1CDC9F45"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86" w:history="1">
            <w:r w:rsidRPr="00314155">
              <w:rPr>
                <w:rStyle w:val="Hyperlink"/>
                <w:rFonts w:eastAsiaTheme="majorEastAsia"/>
                <w:noProof/>
              </w:rPr>
              <w:t>11.1.3 Security and Compliance Reports</w:t>
            </w:r>
            <w:r>
              <w:rPr>
                <w:noProof/>
                <w:webHidden/>
              </w:rPr>
              <w:tab/>
            </w:r>
            <w:r>
              <w:rPr>
                <w:noProof/>
                <w:webHidden/>
              </w:rPr>
              <w:fldChar w:fldCharType="begin"/>
            </w:r>
            <w:r>
              <w:rPr>
                <w:noProof/>
                <w:webHidden/>
              </w:rPr>
              <w:instrText xml:space="preserve"> PAGEREF _Toc191893486 \h </w:instrText>
            </w:r>
            <w:r>
              <w:rPr>
                <w:noProof/>
                <w:webHidden/>
              </w:rPr>
            </w:r>
            <w:r>
              <w:rPr>
                <w:noProof/>
                <w:webHidden/>
              </w:rPr>
              <w:fldChar w:fldCharType="separate"/>
            </w:r>
            <w:r>
              <w:rPr>
                <w:noProof/>
                <w:webHidden/>
              </w:rPr>
              <w:t>13</w:t>
            </w:r>
            <w:r>
              <w:rPr>
                <w:noProof/>
                <w:webHidden/>
              </w:rPr>
              <w:fldChar w:fldCharType="end"/>
            </w:r>
          </w:hyperlink>
        </w:p>
        <w:p w14:paraId="4DBBED7E" w14:textId="0B24CD53"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87" w:history="1">
            <w:r w:rsidRPr="00314155">
              <w:rPr>
                <w:rStyle w:val="Hyperlink"/>
                <w:rFonts w:eastAsiaTheme="majorEastAsia"/>
                <w:noProof/>
              </w:rPr>
              <w:t>11.1.4 Disaster Recovery and Business Continuity Reports</w:t>
            </w:r>
            <w:r>
              <w:rPr>
                <w:noProof/>
                <w:webHidden/>
              </w:rPr>
              <w:tab/>
            </w:r>
            <w:r>
              <w:rPr>
                <w:noProof/>
                <w:webHidden/>
              </w:rPr>
              <w:fldChar w:fldCharType="begin"/>
            </w:r>
            <w:r>
              <w:rPr>
                <w:noProof/>
                <w:webHidden/>
              </w:rPr>
              <w:instrText xml:space="preserve"> PAGEREF _Toc191893487 \h </w:instrText>
            </w:r>
            <w:r>
              <w:rPr>
                <w:noProof/>
                <w:webHidden/>
              </w:rPr>
            </w:r>
            <w:r>
              <w:rPr>
                <w:noProof/>
                <w:webHidden/>
              </w:rPr>
              <w:fldChar w:fldCharType="separate"/>
            </w:r>
            <w:r>
              <w:rPr>
                <w:noProof/>
                <w:webHidden/>
              </w:rPr>
              <w:t>14</w:t>
            </w:r>
            <w:r>
              <w:rPr>
                <w:noProof/>
                <w:webHidden/>
              </w:rPr>
              <w:fldChar w:fldCharType="end"/>
            </w:r>
          </w:hyperlink>
        </w:p>
        <w:p w14:paraId="3D92E433" w14:textId="0DA8134D"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88" w:history="1">
            <w:r w:rsidRPr="00314155">
              <w:rPr>
                <w:rStyle w:val="Hyperlink"/>
                <w:rFonts w:eastAsiaTheme="majorEastAsia"/>
                <w:noProof/>
              </w:rPr>
              <w:t>11.1.5 Environmental and Infrastructure Reports</w:t>
            </w:r>
            <w:r>
              <w:rPr>
                <w:noProof/>
                <w:webHidden/>
              </w:rPr>
              <w:tab/>
            </w:r>
            <w:r>
              <w:rPr>
                <w:noProof/>
                <w:webHidden/>
              </w:rPr>
              <w:fldChar w:fldCharType="begin"/>
            </w:r>
            <w:r>
              <w:rPr>
                <w:noProof/>
                <w:webHidden/>
              </w:rPr>
              <w:instrText xml:space="preserve"> PAGEREF _Toc191893488 \h </w:instrText>
            </w:r>
            <w:r>
              <w:rPr>
                <w:noProof/>
                <w:webHidden/>
              </w:rPr>
            </w:r>
            <w:r>
              <w:rPr>
                <w:noProof/>
                <w:webHidden/>
              </w:rPr>
              <w:fldChar w:fldCharType="separate"/>
            </w:r>
            <w:r>
              <w:rPr>
                <w:noProof/>
                <w:webHidden/>
              </w:rPr>
              <w:t>14</w:t>
            </w:r>
            <w:r>
              <w:rPr>
                <w:noProof/>
                <w:webHidden/>
              </w:rPr>
              <w:fldChar w:fldCharType="end"/>
            </w:r>
          </w:hyperlink>
        </w:p>
        <w:p w14:paraId="474941CF" w14:textId="07C463C8"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89" w:history="1">
            <w:r w:rsidRPr="00314155">
              <w:rPr>
                <w:rStyle w:val="Hyperlink"/>
                <w:rFonts w:eastAsiaTheme="majorEastAsia"/>
                <w:noProof/>
              </w:rPr>
              <w:t>11.2 Types of Dashboards</w:t>
            </w:r>
            <w:r>
              <w:rPr>
                <w:noProof/>
                <w:webHidden/>
              </w:rPr>
              <w:tab/>
            </w:r>
            <w:r>
              <w:rPr>
                <w:noProof/>
                <w:webHidden/>
              </w:rPr>
              <w:fldChar w:fldCharType="begin"/>
            </w:r>
            <w:r>
              <w:rPr>
                <w:noProof/>
                <w:webHidden/>
              </w:rPr>
              <w:instrText xml:space="preserve"> PAGEREF _Toc191893489 \h </w:instrText>
            </w:r>
            <w:r>
              <w:rPr>
                <w:noProof/>
                <w:webHidden/>
              </w:rPr>
            </w:r>
            <w:r>
              <w:rPr>
                <w:noProof/>
                <w:webHidden/>
              </w:rPr>
              <w:fldChar w:fldCharType="separate"/>
            </w:r>
            <w:r>
              <w:rPr>
                <w:noProof/>
                <w:webHidden/>
              </w:rPr>
              <w:t>15</w:t>
            </w:r>
            <w:r>
              <w:rPr>
                <w:noProof/>
                <w:webHidden/>
              </w:rPr>
              <w:fldChar w:fldCharType="end"/>
            </w:r>
          </w:hyperlink>
        </w:p>
        <w:p w14:paraId="606E6E66" w14:textId="41F02632"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90" w:history="1">
            <w:r w:rsidRPr="00314155">
              <w:rPr>
                <w:rStyle w:val="Hyperlink"/>
                <w:rFonts w:eastAsiaTheme="majorEastAsia"/>
                <w:noProof/>
              </w:rPr>
              <w:t>11.2.1 Executive Dashboard</w:t>
            </w:r>
            <w:r>
              <w:rPr>
                <w:noProof/>
                <w:webHidden/>
              </w:rPr>
              <w:tab/>
            </w:r>
            <w:r>
              <w:rPr>
                <w:noProof/>
                <w:webHidden/>
              </w:rPr>
              <w:fldChar w:fldCharType="begin"/>
            </w:r>
            <w:r>
              <w:rPr>
                <w:noProof/>
                <w:webHidden/>
              </w:rPr>
              <w:instrText xml:space="preserve"> PAGEREF _Toc191893490 \h </w:instrText>
            </w:r>
            <w:r>
              <w:rPr>
                <w:noProof/>
                <w:webHidden/>
              </w:rPr>
            </w:r>
            <w:r>
              <w:rPr>
                <w:noProof/>
                <w:webHidden/>
              </w:rPr>
              <w:fldChar w:fldCharType="separate"/>
            </w:r>
            <w:r>
              <w:rPr>
                <w:noProof/>
                <w:webHidden/>
              </w:rPr>
              <w:t>15</w:t>
            </w:r>
            <w:r>
              <w:rPr>
                <w:noProof/>
                <w:webHidden/>
              </w:rPr>
              <w:fldChar w:fldCharType="end"/>
            </w:r>
          </w:hyperlink>
        </w:p>
        <w:p w14:paraId="078E34D9" w14:textId="63C07327"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91" w:history="1">
            <w:r w:rsidRPr="00314155">
              <w:rPr>
                <w:rStyle w:val="Hyperlink"/>
                <w:rFonts w:eastAsiaTheme="majorEastAsia"/>
                <w:noProof/>
              </w:rPr>
              <w:t>11.2.2 Security Operations Dashboard</w:t>
            </w:r>
            <w:r>
              <w:rPr>
                <w:noProof/>
                <w:webHidden/>
              </w:rPr>
              <w:tab/>
            </w:r>
            <w:r>
              <w:rPr>
                <w:noProof/>
                <w:webHidden/>
              </w:rPr>
              <w:fldChar w:fldCharType="begin"/>
            </w:r>
            <w:r>
              <w:rPr>
                <w:noProof/>
                <w:webHidden/>
              </w:rPr>
              <w:instrText xml:space="preserve"> PAGEREF _Toc191893491 \h </w:instrText>
            </w:r>
            <w:r>
              <w:rPr>
                <w:noProof/>
                <w:webHidden/>
              </w:rPr>
            </w:r>
            <w:r>
              <w:rPr>
                <w:noProof/>
                <w:webHidden/>
              </w:rPr>
              <w:fldChar w:fldCharType="separate"/>
            </w:r>
            <w:r>
              <w:rPr>
                <w:noProof/>
                <w:webHidden/>
              </w:rPr>
              <w:t>15</w:t>
            </w:r>
            <w:r>
              <w:rPr>
                <w:noProof/>
                <w:webHidden/>
              </w:rPr>
              <w:fldChar w:fldCharType="end"/>
            </w:r>
          </w:hyperlink>
        </w:p>
        <w:p w14:paraId="758E0A9F" w14:textId="6D057F39"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92" w:history="1">
            <w:r w:rsidRPr="00314155">
              <w:rPr>
                <w:rStyle w:val="Hyperlink"/>
                <w:rFonts w:eastAsiaTheme="majorEastAsia"/>
                <w:noProof/>
              </w:rPr>
              <w:t>11.2.3 Network Operations Dashboard</w:t>
            </w:r>
            <w:r>
              <w:rPr>
                <w:noProof/>
                <w:webHidden/>
              </w:rPr>
              <w:tab/>
            </w:r>
            <w:r>
              <w:rPr>
                <w:noProof/>
                <w:webHidden/>
              </w:rPr>
              <w:fldChar w:fldCharType="begin"/>
            </w:r>
            <w:r>
              <w:rPr>
                <w:noProof/>
                <w:webHidden/>
              </w:rPr>
              <w:instrText xml:space="preserve"> PAGEREF _Toc191893492 \h </w:instrText>
            </w:r>
            <w:r>
              <w:rPr>
                <w:noProof/>
                <w:webHidden/>
              </w:rPr>
            </w:r>
            <w:r>
              <w:rPr>
                <w:noProof/>
                <w:webHidden/>
              </w:rPr>
              <w:fldChar w:fldCharType="separate"/>
            </w:r>
            <w:r>
              <w:rPr>
                <w:noProof/>
                <w:webHidden/>
              </w:rPr>
              <w:t>15</w:t>
            </w:r>
            <w:r>
              <w:rPr>
                <w:noProof/>
                <w:webHidden/>
              </w:rPr>
              <w:fldChar w:fldCharType="end"/>
            </w:r>
          </w:hyperlink>
        </w:p>
        <w:p w14:paraId="653A72E4" w14:textId="09260859"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93" w:history="1">
            <w:r w:rsidRPr="00314155">
              <w:rPr>
                <w:rStyle w:val="Hyperlink"/>
                <w:rFonts w:eastAsiaTheme="majorEastAsia"/>
                <w:noProof/>
              </w:rPr>
              <w:t>11.2.4 Incident Management Dashboard</w:t>
            </w:r>
            <w:r>
              <w:rPr>
                <w:noProof/>
                <w:webHidden/>
              </w:rPr>
              <w:tab/>
            </w:r>
            <w:r>
              <w:rPr>
                <w:noProof/>
                <w:webHidden/>
              </w:rPr>
              <w:fldChar w:fldCharType="begin"/>
            </w:r>
            <w:r>
              <w:rPr>
                <w:noProof/>
                <w:webHidden/>
              </w:rPr>
              <w:instrText xml:space="preserve"> PAGEREF _Toc191893493 \h </w:instrText>
            </w:r>
            <w:r>
              <w:rPr>
                <w:noProof/>
                <w:webHidden/>
              </w:rPr>
            </w:r>
            <w:r>
              <w:rPr>
                <w:noProof/>
                <w:webHidden/>
              </w:rPr>
              <w:fldChar w:fldCharType="separate"/>
            </w:r>
            <w:r>
              <w:rPr>
                <w:noProof/>
                <w:webHidden/>
              </w:rPr>
              <w:t>15</w:t>
            </w:r>
            <w:r>
              <w:rPr>
                <w:noProof/>
                <w:webHidden/>
              </w:rPr>
              <w:fldChar w:fldCharType="end"/>
            </w:r>
          </w:hyperlink>
        </w:p>
        <w:p w14:paraId="0E567BDC" w14:textId="0E92A328"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94" w:history="1">
            <w:r w:rsidRPr="00314155">
              <w:rPr>
                <w:rStyle w:val="Hyperlink"/>
                <w:rFonts w:eastAsiaTheme="majorEastAsia"/>
                <w:noProof/>
              </w:rPr>
              <w:t>11.2.5 Disaster Recovery and Business Continuity Dashboard</w:t>
            </w:r>
            <w:r>
              <w:rPr>
                <w:noProof/>
                <w:webHidden/>
              </w:rPr>
              <w:tab/>
            </w:r>
            <w:r>
              <w:rPr>
                <w:noProof/>
                <w:webHidden/>
              </w:rPr>
              <w:fldChar w:fldCharType="begin"/>
            </w:r>
            <w:r>
              <w:rPr>
                <w:noProof/>
                <w:webHidden/>
              </w:rPr>
              <w:instrText xml:space="preserve"> PAGEREF _Toc191893494 \h </w:instrText>
            </w:r>
            <w:r>
              <w:rPr>
                <w:noProof/>
                <w:webHidden/>
              </w:rPr>
            </w:r>
            <w:r>
              <w:rPr>
                <w:noProof/>
                <w:webHidden/>
              </w:rPr>
              <w:fldChar w:fldCharType="separate"/>
            </w:r>
            <w:r>
              <w:rPr>
                <w:noProof/>
                <w:webHidden/>
              </w:rPr>
              <w:t>15</w:t>
            </w:r>
            <w:r>
              <w:rPr>
                <w:noProof/>
                <w:webHidden/>
              </w:rPr>
              <w:fldChar w:fldCharType="end"/>
            </w:r>
          </w:hyperlink>
        </w:p>
        <w:p w14:paraId="26DA5109" w14:textId="06A5EFF2" w:rsidR="005139F2" w:rsidRDefault="005139F2">
          <w:pPr>
            <w:pStyle w:val="TOC3"/>
            <w:tabs>
              <w:tab w:val="right" w:leader="dot" w:pos="10070"/>
            </w:tabs>
            <w:rPr>
              <w:rFonts w:asciiTheme="minorHAnsi" w:eastAsiaTheme="minorEastAsia" w:hAnsiTheme="minorHAnsi" w:cstheme="minorBidi"/>
              <w:noProof/>
              <w:kern w:val="2"/>
              <w14:ligatures w14:val="standardContextual"/>
            </w:rPr>
          </w:pPr>
          <w:hyperlink w:anchor="_Toc191893495" w:history="1">
            <w:r w:rsidRPr="00314155">
              <w:rPr>
                <w:rStyle w:val="Hyperlink"/>
                <w:rFonts w:eastAsiaTheme="majorEastAsia"/>
                <w:noProof/>
              </w:rPr>
              <w:t>11.2.6 Environmental and Infrastructure Monitoring Dashboard</w:t>
            </w:r>
            <w:r>
              <w:rPr>
                <w:noProof/>
                <w:webHidden/>
              </w:rPr>
              <w:tab/>
            </w:r>
            <w:r>
              <w:rPr>
                <w:noProof/>
                <w:webHidden/>
              </w:rPr>
              <w:fldChar w:fldCharType="begin"/>
            </w:r>
            <w:r>
              <w:rPr>
                <w:noProof/>
                <w:webHidden/>
              </w:rPr>
              <w:instrText xml:space="preserve"> PAGEREF _Toc191893495 \h </w:instrText>
            </w:r>
            <w:r>
              <w:rPr>
                <w:noProof/>
                <w:webHidden/>
              </w:rPr>
            </w:r>
            <w:r>
              <w:rPr>
                <w:noProof/>
                <w:webHidden/>
              </w:rPr>
              <w:fldChar w:fldCharType="separate"/>
            </w:r>
            <w:r>
              <w:rPr>
                <w:noProof/>
                <w:webHidden/>
              </w:rPr>
              <w:t>16</w:t>
            </w:r>
            <w:r>
              <w:rPr>
                <w:noProof/>
                <w:webHidden/>
              </w:rPr>
              <w:fldChar w:fldCharType="end"/>
            </w:r>
          </w:hyperlink>
        </w:p>
        <w:p w14:paraId="20637CE5" w14:textId="4DA3F4F8" w:rsidR="005139F2" w:rsidRDefault="005139F2">
          <w:pPr>
            <w:pStyle w:val="TOC3"/>
            <w:tabs>
              <w:tab w:val="left" w:pos="960"/>
              <w:tab w:val="right" w:leader="dot" w:pos="10070"/>
            </w:tabs>
            <w:rPr>
              <w:rFonts w:asciiTheme="minorHAnsi" w:eastAsiaTheme="minorEastAsia" w:hAnsiTheme="minorHAnsi" w:cstheme="minorBidi"/>
              <w:noProof/>
              <w:kern w:val="2"/>
              <w14:ligatures w14:val="standardContextual"/>
            </w:rPr>
          </w:pPr>
          <w:hyperlink w:anchor="_Toc191893496" w:history="1">
            <w:r w:rsidRPr="00314155">
              <w:rPr>
                <w:rStyle w:val="Hyperlink"/>
                <w:rFonts w:eastAsiaTheme="majorEastAsia"/>
                <w:noProof/>
              </w:rPr>
              <w:t>A.</w:t>
            </w:r>
            <w:r>
              <w:rPr>
                <w:rFonts w:asciiTheme="minorHAnsi" w:eastAsiaTheme="minorEastAsia" w:hAnsiTheme="minorHAnsi" w:cstheme="minorBidi"/>
                <w:noProof/>
                <w:kern w:val="2"/>
                <w14:ligatures w14:val="standardContextual"/>
              </w:rPr>
              <w:tab/>
            </w:r>
            <w:r w:rsidRPr="00314155">
              <w:rPr>
                <w:rStyle w:val="Hyperlink"/>
                <w:rFonts w:eastAsiaTheme="majorEastAsia"/>
                <w:noProof/>
              </w:rPr>
              <w:t>Evaluation Criteria and Selection Process</w:t>
            </w:r>
            <w:r>
              <w:rPr>
                <w:noProof/>
                <w:webHidden/>
              </w:rPr>
              <w:tab/>
            </w:r>
            <w:r>
              <w:rPr>
                <w:noProof/>
                <w:webHidden/>
              </w:rPr>
              <w:fldChar w:fldCharType="begin"/>
            </w:r>
            <w:r>
              <w:rPr>
                <w:noProof/>
                <w:webHidden/>
              </w:rPr>
              <w:instrText xml:space="preserve"> PAGEREF _Toc191893496 \h </w:instrText>
            </w:r>
            <w:r>
              <w:rPr>
                <w:noProof/>
                <w:webHidden/>
              </w:rPr>
            </w:r>
            <w:r>
              <w:rPr>
                <w:noProof/>
                <w:webHidden/>
              </w:rPr>
              <w:fldChar w:fldCharType="separate"/>
            </w:r>
            <w:r>
              <w:rPr>
                <w:noProof/>
                <w:webHidden/>
              </w:rPr>
              <w:t>16</w:t>
            </w:r>
            <w:r>
              <w:rPr>
                <w:noProof/>
                <w:webHidden/>
              </w:rPr>
              <w:fldChar w:fldCharType="end"/>
            </w:r>
          </w:hyperlink>
        </w:p>
        <w:p w14:paraId="23BB20A1" w14:textId="78C2C9EE" w:rsidR="005139F2" w:rsidRDefault="005139F2">
          <w:pPr>
            <w:pStyle w:val="TOC3"/>
            <w:tabs>
              <w:tab w:val="left" w:pos="960"/>
              <w:tab w:val="right" w:leader="dot" w:pos="10070"/>
            </w:tabs>
            <w:rPr>
              <w:rFonts w:asciiTheme="minorHAnsi" w:eastAsiaTheme="minorEastAsia" w:hAnsiTheme="minorHAnsi" w:cstheme="minorBidi"/>
              <w:noProof/>
              <w:kern w:val="2"/>
              <w14:ligatures w14:val="standardContextual"/>
            </w:rPr>
          </w:pPr>
          <w:hyperlink w:anchor="_Toc191893497" w:history="1">
            <w:r w:rsidRPr="00314155">
              <w:rPr>
                <w:rStyle w:val="Hyperlink"/>
                <w:rFonts w:eastAsiaTheme="majorEastAsia"/>
                <w:noProof/>
              </w:rPr>
              <w:t>B.</w:t>
            </w:r>
            <w:r>
              <w:rPr>
                <w:rFonts w:asciiTheme="minorHAnsi" w:eastAsiaTheme="minorEastAsia" w:hAnsiTheme="minorHAnsi" w:cstheme="minorBidi"/>
                <w:noProof/>
                <w:kern w:val="2"/>
                <w14:ligatures w14:val="standardContextual"/>
              </w:rPr>
              <w:tab/>
            </w:r>
            <w:r w:rsidRPr="00314155">
              <w:rPr>
                <w:rStyle w:val="Hyperlink"/>
                <w:rFonts w:eastAsiaTheme="majorEastAsia"/>
                <w:noProof/>
              </w:rPr>
              <w:t>Instructions for Evaluation:</w:t>
            </w:r>
            <w:r>
              <w:rPr>
                <w:noProof/>
                <w:webHidden/>
              </w:rPr>
              <w:tab/>
            </w:r>
            <w:r>
              <w:rPr>
                <w:noProof/>
                <w:webHidden/>
              </w:rPr>
              <w:fldChar w:fldCharType="begin"/>
            </w:r>
            <w:r>
              <w:rPr>
                <w:noProof/>
                <w:webHidden/>
              </w:rPr>
              <w:instrText xml:space="preserve"> PAGEREF _Toc191893497 \h </w:instrText>
            </w:r>
            <w:r>
              <w:rPr>
                <w:noProof/>
                <w:webHidden/>
              </w:rPr>
            </w:r>
            <w:r>
              <w:rPr>
                <w:noProof/>
                <w:webHidden/>
              </w:rPr>
              <w:fldChar w:fldCharType="separate"/>
            </w:r>
            <w:r>
              <w:rPr>
                <w:noProof/>
                <w:webHidden/>
              </w:rPr>
              <w:t>17</w:t>
            </w:r>
            <w:r>
              <w:rPr>
                <w:noProof/>
                <w:webHidden/>
              </w:rPr>
              <w:fldChar w:fldCharType="end"/>
            </w:r>
          </w:hyperlink>
        </w:p>
        <w:p w14:paraId="5CDF863F" w14:textId="48376307" w:rsidR="005139F2" w:rsidRDefault="005139F2">
          <w:pPr>
            <w:pStyle w:val="TOC3"/>
            <w:tabs>
              <w:tab w:val="left" w:pos="960"/>
              <w:tab w:val="right" w:leader="dot" w:pos="10070"/>
            </w:tabs>
            <w:rPr>
              <w:rFonts w:asciiTheme="minorHAnsi" w:eastAsiaTheme="minorEastAsia" w:hAnsiTheme="minorHAnsi" w:cstheme="minorBidi"/>
              <w:noProof/>
              <w:kern w:val="2"/>
              <w14:ligatures w14:val="standardContextual"/>
            </w:rPr>
          </w:pPr>
          <w:hyperlink w:anchor="_Toc191893498" w:history="1">
            <w:r w:rsidRPr="00314155">
              <w:rPr>
                <w:rStyle w:val="Hyperlink"/>
                <w:rFonts w:eastAsiaTheme="majorEastAsia"/>
                <w:noProof/>
              </w:rPr>
              <w:t>C.</w:t>
            </w:r>
            <w:r>
              <w:rPr>
                <w:rFonts w:asciiTheme="minorHAnsi" w:eastAsiaTheme="minorEastAsia" w:hAnsiTheme="minorHAnsi" w:cstheme="minorBidi"/>
                <w:noProof/>
                <w:kern w:val="2"/>
                <w14:ligatures w14:val="standardContextual"/>
              </w:rPr>
              <w:tab/>
            </w:r>
            <w:r w:rsidRPr="00314155">
              <w:rPr>
                <w:rStyle w:val="Hyperlink"/>
                <w:rFonts w:eastAsiaTheme="majorEastAsia"/>
                <w:noProof/>
              </w:rPr>
              <w:t>Evaluation Criteria Table</w:t>
            </w:r>
            <w:r>
              <w:rPr>
                <w:noProof/>
                <w:webHidden/>
              </w:rPr>
              <w:tab/>
            </w:r>
            <w:r>
              <w:rPr>
                <w:noProof/>
                <w:webHidden/>
              </w:rPr>
              <w:fldChar w:fldCharType="begin"/>
            </w:r>
            <w:r>
              <w:rPr>
                <w:noProof/>
                <w:webHidden/>
              </w:rPr>
              <w:instrText xml:space="preserve"> PAGEREF _Toc191893498 \h </w:instrText>
            </w:r>
            <w:r>
              <w:rPr>
                <w:noProof/>
                <w:webHidden/>
              </w:rPr>
            </w:r>
            <w:r>
              <w:rPr>
                <w:noProof/>
                <w:webHidden/>
              </w:rPr>
              <w:fldChar w:fldCharType="separate"/>
            </w:r>
            <w:r>
              <w:rPr>
                <w:noProof/>
                <w:webHidden/>
              </w:rPr>
              <w:t>17</w:t>
            </w:r>
            <w:r>
              <w:rPr>
                <w:noProof/>
                <w:webHidden/>
              </w:rPr>
              <w:fldChar w:fldCharType="end"/>
            </w:r>
          </w:hyperlink>
        </w:p>
        <w:p w14:paraId="062DFCDA" w14:textId="761BD089" w:rsidR="005139F2" w:rsidRDefault="005139F2">
          <w:pPr>
            <w:pStyle w:val="TOC2"/>
            <w:tabs>
              <w:tab w:val="right" w:leader="dot" w:pos="10070"/>
            </w:tabs>
            <w:rPr>
              <w:rFonts w:asciiTheme="minorHAnsi" w:eastAsiaTheme="minorEastAsia" w:hAnsiTheme="minorHAnsi" w:cstheme="minorBidi"/>
              <w:noProof/>
              <w:kern w:val="2"/>
              <w14:ligatures w14:val="standardContextual"/>
            </w:rPr>
          </w:pPr>
          <w:hyperlink w:anchor="_Toc191893499" w:history="1">
            <w:r w:rsidRPr="00314155">
              <w:rPr>
                <w:rStyle w:val="Hyperlink"/>
                <w:rFonts w:eastAsiaTheme="majorEastAsia"/>
                <w:noProof/>
              </w:rPr>
              <w:t>Evaluation Methodology</w:t>
            </w:r>
            <w:r>
              <w:rPr>
                <w:noProof/>
                <w:webHidden/>
              </w:rPr>
              <w:tab/>
            </w:r>
            <w:r>
              <w:rPr>
                <w:noProof/>
                <w:webHidden/>
              </w:rPr>
              <w:fldChar w:fldCharType="begin"/>
            </w:r>
            <w:r>
              <w:rPr>
                <w:noProof/>
                <w:webHidden/>
              </w:rPr>
              <w:instrText xml:space="preserve"> PAGEREF _Toc191893499 \h </w:instrText>
            </w:r>
            <w:r>
              <w:rPr>
                <w:noProof/>
                <w:webHidden/>
              </w:rPr>
            </w:r>
            <w:r>
              <w:rPr>
                <w:noProof/>
                <w:webHidden/>
              </w:rPr>
              <w:fldChar w:fldCharType="separate"/>
            </w:r>
            <w:r>
              <w:rPr>
                <w:noProof/>
                <w:webHidden/>
              </w:rPr>
              <w:t>19</w:t>
            </w:r>
            <w:r>
              <w:rPr>
                <w:noProof/>
                <w:webHidden/>
              </w:rPr>
              <w:fldChar w:fldCharType="end"/>
            </w:r>
          </w:hyperlink>
        </w:p>
        <w:p w14:paraId="779C5265" w14:textId="2D49E221" w:rsidR="00332ECF" w:rsidRDefault="00332ECF">
          <w:r>
            <w:rPr>
              <w:b/>
              <w:bCs/>
              <w:noProof/>
            </w:rPr>
            <w:fldChar w:fldCharType="end"/>
          </w:r>
        </w:p>
      </w:sdtContent>
    </w:sdt>
    <w:p w14:paraId="797E6D3C" w14:textId="10C7FE4F" w:rsidR="00EB2A9B" w:rsidRDefault="00344A41" w:rsidP="00344A41">
      <w:pPr>
        <w:tabs>
          <w:tab w:val="left" w:pos="2893"/>
        </w:tabs>
        <w:rPr>
          <w:rFonts w:eastAsia="Arial" w:cstheme="minorHAnsi"/>
          <w:sz w:val="44"/>
          <w:szCs w:val="44"/>
        </w:rPr>
      </w:pPr>
      <w:r>
        <w:rPr>
          <w:rFonts w:eastAsia="Arial" w:cstheme="minorHAnsi"/>
          <w:sz w:val="44"/>
          <w:szCs w:val="44"/>
        </w:rPr>
        <w:tab/>
      </w:r>
    </w:p>
    <w:p w14:paraId="4B5CA3FF" w14:textId="77777777" w:rsidR="00C9070B" w:rsidRDefault="00C9070B">
      <w:pPr>
        <w:rPr>
          <w:rFonts w:eastAsia="Arial" w:cstheme="minorHAnsi"/>
          <w:sz w:val="44"/>
          <w:szCs w:val="44"/>
        </w:rPr>
      </w:pPr>
    </w:p>
    <w:p w14:paraId="3F49D78B" w14:textId="77777777" w:rsidR="00C9070B" w:rsidRDefault="00C9070B">
      <w:pPr>
        <w:rPr>
          <w:rFonts w:eastAsia="Arial" w:cstheme="minorHAnsi"/>
          <w:sz w:val="44"/>
          <w:szCs w:val="44"/>
        </w:rPr>
      </w:pPr>
    </w:p>
    <w:p w14:paraId="12D08613" w14:textId="77777777" w:rsidR="00C9070B" w:rsidRDefault="00C9070B">
      <w:pPr>
        <w:rPr>
          <w:rFonts w:eastAsia="Arial" w:cstheme="minorHAnsi"/>
          <w:sz w:val="44"/>
          <w:szCs w:val="44"/>
        </w:rPr>
      </w:pPr>
    </w:p>
    <w:p w14:paraId="71AEE738" w14:textId="77777777" w:rsidR="00C9070B" w:rsidRDefault="00C9070B">
      <w:pPr>
        <w:rPr>
          <w:rFonts w:eastAsia="Arial" w:cstheme="minorHAnsi"/>
          <w:sz w:val="44"/>
          <w:szCs w:val="44"/>
        </w:rPr>
      </w:pPr>
    </w:p>
    <w:p w14:paraId="565EF07E" w14:textId="77777777" w:rsidR="00C9070B" w:rsidRDefault="00C9070B">
      <w:pPr>
        <w:rPr>
          <w:rFonts w:eastAsia="Arial" w:cstheme="minorHAnsi"/>
          <w:sz w:val="44"/>
          <w:szCs w:val="44"/>
        </w:rPr>
      </w:pPr>
    </w:p>
    <w:p w14:paraId="785E2561" w14:textId="77777777" w:rsidR="00140FD7" w:rsidRDefault="00140FD7">
      <w:pPr>
        <w:rPr>
          <w:rFonts w:eastAsia="Arial" w:cstheme="minorHAnsi"/>
          <w:sz w:val="44"/>
          <w:szCs w:val="44"/>
        </w:rPr>
      </w:pPr>
    </w:p>
    <w:p w14:paraId="666386EE" w14:textId="77777777" w:rsidR="00140FD7" w:rsidRDefault="00140FD7">
      <w:pPr>
        <w:rPr>
          <w:rFonts w:eastAsia="Arial" w:cstheme="minorHAnsi"/>
          <w:sz w:val="44"/>
          <w:szCs w:val="44"/>
        </w:rPr>
      </w:pPr>
    </w:p>
    <w:p w14:paraId="3D8DCBCF" w14:textId="77777777" w:rsidR="00140FD7" w:rsidRDefault="00140FD7">
      <w:pPr>
        <w:rPr>
          <w:rFonts w:eastAsia="Arial" w:cstheme="minorHAnsi"/>
          <w:sz w:val="44"/>
          <w:szCs w:val="44"/>
        </w:rPr>
      </w:pPr>
    </w:p>
    <w:p w14:paraId="5EBA5A96" w14:textId="77777777" w:rsidR="00EA0233" w:rsidRDefault="00EA0233">
      <w:pPr>
        <w:rPr>
          <w:rFonts w:eastAsia="Arial" w:cstheme="minorHAnsi"/>
          <w:sz w:val="44"/>
          <w:szCs w:val="44"/>
        </w:rPr>
      </w:pPr>
    </w:p>
    <w:p w14:paraId="54542C92" w14:textId="77777777" w:rsidR="00EA0233" w:rsidRDefault="00EA0233">
      <w:pPr>
        <w:rPr>
          <w:rFonts w:eastAsia="Arial" w:cstheme="minorHAnsi"/>
          <w:sz w:val="44"/>
          <w:szCs w:val="44"/>
        </w:rPr>
      </w:pPr>
    </w:p>
    <w:p w14:paraId="4DC0FE7C" w14:textId="77777777" w:rsidR="00EA0233" w:rsidRDefault="00EA0233">
      <w:pPr>
        <w:rPr>
          <w:rFonts w:eastAsia="Arial" w:cstheme="minorHAnsi"/>
          <w:sz w:val="44"/>
          <w:szCs w:val="44"/>
        </w:rPr>
      </w:pPr>
    </w:p>
    <w:p w14:paraId="2D4B33FD" w14:textId="77777777" w:rsidR="00EA0233" w:rsidRDefault="00EA0233">
      <w:pPr>
        <w:rPr>
          <w:rFonts w:eastAsia="Arial" w:cstheme="minorHAnsi"/>
          <w:sz w:val="44"/>
          <w:szCs w:val="44"/>
        </w:rPr>
      </w:pPr>
    </w:p>
    <w:p w14:paraId="233967B9" w14:textId="77777777" w:rsidR="00EA0233" w:rsidRDefault="00EA0233">
      <w:pPr>
        <w:rPr>
          <w:rFonts w:eastAsia="Arial" w:cstheme="minorHAnsi"/>
          <w:sz w:val="44"/>
          <w:szCs w:val="44"/>
        </w:rPr>
      </w:pPr>
    </w:p>
    <w:p w14:paraId="5D8A88C2" w14:textId="77777777" w:rsidR="00EA0233" w:rsidRDefault="00EA0233">
      <w:pPr>
        <w:rPr>
          <w:rFonts w:eastAsia="Arial" w:cstheme="minorHAnsi"/>
          <w:sz w:val="44"/>
          <w:szCs w:val="44"/>
        </w:rPr>
      </w:pPr>
    </w:p>
    <w:p w14:paraId="6562983F" w14:textId="77777777" w:rsidR="00EA0233" w:rsidRDefault="00EA0233">
      <w:pPr>
        <w:rPr>
          <w:rFonts w:eastAsia="Arial" w:cstheme="minorHAnsi"/>
          <w:sz w:val="44"/>
          <w:szCs w:val="44"/>
        </w:rPr>
      </w:pPr>
    </w:p>
    <w:p w14:paraId="11E9BCB0" w14:textId="77777777" w:rsidR="00EA0233" w:rsidRDefault="00EA0233">
      <w:pPr>
        <w:rPr>
          <w:rFonts w:eastAsia="Arial" w:cstheme="minorHAnsi"/>
          <w:sz w:val="44"/>
          <w:szCs w:val="44"/>
        </w:rPr>
      </w:pPr>
    </w:p>
    <w:p w14:paraId="34F4CAA1" w14:textId="337BB76F" w:rsidR="00371789" w:rsidRPr="00371789" w:rsidRDefault="00332ECF" w:rsidP="00371789">
      <w:pPr>
        <w:pStyle w:val="Heading4"/>
        <w:rPr>
          <w:rFonts w:eastAsia="Times New Roman"/>
        </w:rPr>
      </w:pPr>
      <w:r w:rsidRPr="00C552A8">
        <w:rPr>
          <w:rFonts w:ascii="Times New Roman" w:eastAsia="Times New Roman" w:hAnsi="Times New Roman" w:cs="Times New Roman"/>
          <w:b/>
          <w:bCs/>
          <w:sz w:val="27"/>
          <w:szCs w:val="27"/>
        </w:rPr>
        <w:t xml:space="preserve">Managed Network Operations Center </w:t>
      </w:r>
      <w:r>
        <w:rPr>
          <w:rFonts w:ascii="Times New Roman" w:eastAsia="Times New Roman" w:hAnsi="Times New Roman" w:cs="Times New Roman"/>
          <w:b/>
          <w:bCs/>
          <w:sz w:val="27"/>
          <w:szCs w:val="27"/>
        </w:rPr>
        <w:t>&amp;</w:t>
      </w:r>
      <w:r w:rsidRPr="00C552A8">
        <w:rPr>
          <w:rFonts w:ascii="Times New Roman" w:eastAsia="Times New Roman" w:hAnsi="Times New Roman" w:cs="Times New Roman"/>
          <w:b/>
          <w:bCs/>
          <w:sz w:val="27"/>
          <w:szCs w:val="27"/>
        </w:rPr>
        <w:t xml:space="preserve"> Managed Security Operations Center Services</w:t>
      </w:r>
      <w:r>
        <w:rPr>
          <w:rFonts w:ascii="Times New Roman" w:eastAsia="Times New Roman" w:hAnsi="Times New Roman" w:cs="Times New Roman"/>
          <w:b/>
          <w:bCs/>
          <w:sz w:val="27"/>
          <w:szCs w:val="27"/>
        </w:rPr>
        <w:t xml:space="preserve"> Tender Document</w:t>
      </w:r>
      <w:r w:rsidRPr="00371789">
        <w:rPr>
          <w:rFonts w:eastAsia="Times New Roman"/>
        </w:rPr>
        <w:t xml:space="preserve"> </w:t>
      </w:r>
      <w:r>
        <w:rPr>
          <w:rFonts w:eastAsia="Times New Roman"/>
        </w:rPr>
        <w:br/>
      </w:r>
      <w:r w:rsidR="00371789" w:rsidRPr="00371789">
        <w:rPr>
          <w:rFonts w:eastAsia="Times New Roman"/>
        </w:rPr>
        <w:t>Lebanese Red Cross ICT Section</w:t>
      </w:r>
    </w:p>
    <w:p w14:paraId="2E0E6552" w14:textId="77777777" w:rsidR="00371789" w:rsidRPr="00371789" w:rsidRDefault="00000000" w:rsidP="00371789">
      <w:r>
        <w:rPr>
          <w:noProof/>
        </w:rPr>
        <w:pict w14:anchorId="6F1BA828">
          <v:rect id="_x0000_i1025" alt="" style="width:468pt;height:.05pt;mso-width-percent:0;mso-height-percent:0;mso-width-percent:0;mso-height-percent:0" o:hralign="center" o:hrstd="t" o:hr="t" fillcolor="#a0a0a0" stroked="f"/>
        </w:pict>
      </w:r>
    </w:p>
    <w:p w14:paraId="1999ECA8" w14:textId="77777777" w:rsidR="005E2C91" w:rsidRDefault="005E2C91" w:rsidP="005E2C91"/>
    <w:p w14:paraId="5843DB9D" w14:textId="77777777" w:rsidR="005E2C91" w:rsidRDefault="005E2C91" w:rsidP="005E2C91"/>
    <w:p w14:paraId="744A9A47" w14:textId="40592E67" w:rsidR="005E2C91" w:rsidRPr="005E2C91" w:rsidRDefault="005E2C91" w:rsidP="00332ECF">
      <w:pPr>
        <w:pStyle w:val="Heading3"/>
      </w:pPr>
      <w:bookmarkStart w:id="0" w:name="_Toc191893458"/>
      <w:r w:rsidRPr="005E2C91">
        <w:t>1. Introduction and Background</w:t>
      </w:r>
      <w:bookmarkEnd w:id="0"/>
      <w:r w:rsidR="00332ECF">
        <w:br/>
      </w:r>
    </w:p>
    <w:p w14:paraId="6D0D8B81" w14:textId="77777777" w:rsidR="005E2C91" w:rsidRPr="005E2C91" w:rsidRDefault="005E2C91" w:rsidP="005E2C91">
      <w:r w:rsidRPr="005E2C91">
        <w:t xml:space="preserve">The Lebanese Red Cross (LRC) is a prominent humanitarian organization committed to delivering vital emergency and healthcare services. As part of its mission to maintain a resilient IT </w:t>
      </w:r>
      <w:r w:rsidRPr="005E2C91">
        <w:lastRenderedPageBreak/>
        <w:t>infrastructure and secure digital operations, LRC is seeking to engage a qualified vendor for Managed Network Operations Center (MNOC) and Managed Security Operations Center (MSOC) services.</w:t>
      </w:r>
    </w:p>
    <w:p w14:paraId="3BADBB7D" w14:textId="74052F2E" w:rsidR="005E2C91" w:rsidRPr="005E2C91" w:rsidRDefault="005E2C91" w:rsidP="005E2C91">
      <w:r w:rsidRPr="005E2C91">
        <w:t>This tender aims to enhance LRC’s operational capabilities by ensuring continuous monitoring, prompt incident response, and the protection of its IT infrastructure from evolving security threats. The selected vendor will provide comprehensive services to meet LRC’s high standards for uptime, security, and scalability, and will support the ongoing transformation of the organization’s IT operations.</w:t>
      </w:r>
      <w:r w:rsidR="00332ECF">
        <w:br/>
      </w:r>
    </w:p>
    <w:p w14:paraId="12FE8C58" w14:textId="05EFE303" w:rsidR="005E2C91" w:rsidRPr="005E2C91" w:rsidRDefault="005E2C91" w:rsidP="00332ECF">
      <w:pPr>
        <w:pStyle w:val="Heading3"/>
      </w:pPr>
      <w:bookmarkStart w:id="1" w:name="_Toc191893459"/>
      <w:r w:rsidRPr="005E2C91">
        <w:t>2. Scope of Work</w:t>
      </w:r>
      <w:bookmarkEnd w:id="1"/>
      <w:r w:rsidR="00332ECF">
        <w:br/>
      </w:r>
    </w:p>
    <w:p w14:paraId="4A5ACEF4" w14:textId="5EE4A1C3" w:rsidR="005E2C91" w:rsidRPr="005E2C91" w:rsidRDefault="005E2C91" w:rsidP="00332ECF">
      <w:pPr>
        <w:pStyle w:val="Heading3"/>
        <w:ind w:left="720"/>
      </w:pPr>
      <w:bookmarkStart w:id="2" w:name="_Toc191893460"/>
      <w:r w:rsidRPr="005E2C91">
        <w:t>2.1 Managed Network Operations Center (MNOC)</w:t>
      </w:r>
      <w:bookmarkEnd w:id="2"/>
      <w:r w:rsidR="00332ECF">
        <w:br/>
      </w:r>
    </w:p>
    <w:p w14:paraId="18C24F51" w14:textId="77777777" w:rsidR="005E2C91" w:rsidRPr="005E2C91" w:rsidRDefault="005E2C91" w:rsidP="005E2C91">
      <w:r w:rsidRPr="005E2C91">
        <w:t>The MNOC service must ensure 24/7 proactive monitoring and management of LRC’s network infrastructure, providing the following services:</w:t>
      </w:r>
    </w:p>
    <w:p w14:paraId="7169A6BF" w14:textId="77777777" w:rsidR="005E2C91" w:rsidRPr="005E2C91" w:rsidRDefault="005E2C91">
      <w:pPr>
        <w:numPr>
          <w:ilvl w:val="0"/>
          <w:numId w:val="2"/>
        </w:numPr>
      </w:pPr>
      <w:r w:rsidRPr="005E2C91">
        <w:rPr>
          <w:b/>
          <w:bCs/>
        </w:rPr>
        <w:t>Proactive Network Monitoring</w:t>
      </w:r>
      <w:r w:rsidRPr="005E2C91">
        <w:t>: Continuous monitoring of network health, identifying bottlenecks, hardware failures, and security vulnerabilities in real-time.</w:t>
      </w:r>
    </w:p>
    <w:p w14:paraId="7D2EE2CC" w14:textId="77777777" w:rsidR="005E2C91" w:rsidRPr="005E2C91" w:rsidRDefault="005E2C91">
      <w:pPr>
        <w:numPr>
          <w:ilvl w:val="0"/>
          <w:numId w:val="2"/>
        </w:numPr>
      </w:pPr>
      <w:r w:rsidRPr="005E2C91">
        <w:rPr>
          <w:b/>
          <w:bCs/>
        </w:rPr>
        <w:t>Performance Optimization</w:t>
      </w:r>
      <w:r w:rsidRPr="005E2C91">
        <w:t>: Monitoring bandwidth usage, ensuring efficient utilization, and identifying areas for improvement in both network design and operational efficiency.</w:t>
      </w:r>
    </w:p>
    <w:p w14:paraId="0ABF9E3B" w14:textId="77777777" w:rsidR="005E2C91" w:rsidRPr="005E2C91" w:rsidRDefault="005E2C91">
      <w:pPr>
        <w:numPr>
          <w:ilvl w:val="0"/>
          <w:numId w:val="2"/>
        </w:numPr>
      </w:pPr>
      <w:r w:rsidRPr="005E2C91">
        <w:rPr>
          <w:b/>
          <w:bCs/>
        </w:rPr>
        <w:t>Incident Management</w:t>
      </w:r>
      <w:r w:rsidRPr="005E2C91">
        <w:t>: Identification, escalation, and resolution of network incidents, aiming to restore normal operations swiftly with minimal impact on business activities.</w:t>
      </w:r>
    </w:p>
    <w:p w14:paraId="7425E31F" w14:textId="77777777" w:rsidR="005E2C91" w:rsidRPr="005E2C91" w:rsidRDefault="005E2C91">
      <w:pPr>
        <w:numPr>
          <w:ilvl w:val="0"/>
          <w:numId w:val="2"/>
        </w:numPr>
      </w:pPr>
      <w:r w:rsidRPr="005E2C91">
        <w:rPr>
          <w:b/>
          <w:bCs/>
        </w:rPr>
        <w:t>Capacity Planning and Management</w:t>
      </w:r>
      <w:r w:rsidRPr="005E2C91">
        <w:t>: Ensuring scalability of network infrastructure to handle future growth and changes in operational demands.</w:t>
      </w:r>
    </w:p>
    <w:p w14:paraId="54168C81" w14:textId="16A1FC6A" w:rsidR="005E2C91" w:rsidRPr="005E2C91" w:rsidRDefault="005E2C91">
      <w:pPr>
        <w:numPr>
          <w:ilvl w:val="0"/>
          <w:numId w:val="2"/>
        </w:numPr>
        <w:rPr>
          <w:b/>
          <w:bCs/>
        </w:rPr>
      </w:pPr>
      <w:r w:rsidRPr="1BFCA1A3">
        <w:rPr>
          <w:b/>
          <w:bCs/>
        </w:rPr>
        <w:t>Configuration Management</w:t>
      </w:r>
      <w:r>
        <w:t>: Maintaining a repository of configuration details for network devices and systems to streamline troubleshooting and change management.</w:t>
      </w:r>
    </w:p>
    <w:p w14:paraId="421E81B9" w14:textId="46982D48" w:rsidR="005E2C91" w:rsidRPr="005E2C91" w:rsidRDefault="1BFCA1A3">
      <w:pPr>
        <w:numPr>
          <w:ilvl w:val="0"/>
          <w:numId w:val="2"/>
        </w:numPr>
        <w:rPr>
          <w:b/>
          <w:bCs/>
        </w:rPr>
      </w:pPr>
      <w:r w:rsidRPr="1BFCA1A3">
        <w:rPr>
          <w:b/>
          <w:bCs/>
        </w:rPr>
        <w:t xml:space="preserve"> Reporting and Analytics</w:t>
      </w:r>
    </w:p>
    <w:p w14:paraId="34E90ADF" w14:textId="78E3498E" w:rsidR="005E2C91" w:rsidRPr="005E2C91" w:rsidRDefault="1BFCA1A3" w:rsidP="1BFCA1A3">
      <w:pPr>
        <w:pStyle w:val="ListParagraph"/>
      </w:pPr>
      <w:r w:rsidRPr="1BFCA1A3">
        <w:t>Regular performance and SLA compliance reports</w:t>
      </w:r>
    </w:p>
    <w:p w14:paraId="0038604F" w14:textId="39B19F6E" w:rsidR="005E2C91" w:rsidRPr="005E2C91" w:rsidRDefault="1BFCA1A3" w:rsidP="00ED7464">
      <w:pPr>
        <w:ind w:firstLine="720"/>
      </w:pPr>
      <w:r w:rsidRPr="1BFCA1A3">
        <w:t>Custom dashboards and predictive analytics</w:t>
      </w:r>
    </w:p>
    <w:p w14:paraId="3005F84E" w14:textId="21C47551" w:rsidR="005E2C91" w:rsidRPr="005E2C91" w:rsidRDefault="0BA90C81" w:rsidP="00ED7464">
      <w:pPr>
        <w:rPr>
          <w:b/>
          <w:bCs/>
        </w:rPr>
      </w:pPr>
      <w:r w:rsidRPr="1BFCA1A3">
        <w:rPr>
          <w:b/>
          <w:bCs/>
        </w:rPr>
        <w:t xml:space="preserve">         </w:t>
      </w:r>
    </w:p>
    <w:p w14:paraId="2CA32F44" w14:textId="2D6F0C84" w:rsidR="005E2C91" w:rsidRPr="005E2C91" w:rsidRDefault="6D3E5C28" w:rsidP="00ED7464">
      <w:pPr>
        <w:pStyle w:val="ListParagraph"/>
        <w:numPr>
          <w:ilvl w:val="0"/>
          <w:numId w:val="1"/>
        </w:numPr>
        <w:rPr>
          <w:b/>
          <w:bCs/>
        </w:rPr>
      </w:pPr>
      <w:r w:rsidRPr="1BFCA1A3">
        <w:rPr>
          <w:b/>
          <w:bCs/>
        </w:rPr>
        <w:t xml:space="preserve"> Quality</w:t>
      </w:r>
      <w:r w:rsidR="66D45296" w:rsidRPr="1BFCA1A3">
        <w:rPr>
          <w:b/>
          <w:bCs/>
        </w:rPr>
        <w:t xml:space="preserve"> of Service (QoS) Management</w:t>
      </w:r>
    </w:p>
    <w:p w14:paraId="212C78F0" w14:textId="132B9EF3" w:rsidR="005E2C91" w:rsidRPr="005E2C91" w:rsidRDefault="66D45296" w:rsidP="1BFCA1A3">
      <w:pPr>
        <w:pStyle w:val="ListParagraph"/>
      </w:pPr>
      <w:r w:rsidRPr="1BFCA1A3">
        <w:t>Traffic prioritization for critical applications</w:t>
      </w:r>
    </w:p>
    <w:p w14:paraId="1C88D88A" w14:textId="4656678C" w:rsidR="005E2C91" w:rsidRPr="005E2C91" w:rsidRDefault="66D45296" w:rsidP="1BFCA1A3">
      <w:pPr>
        <w:pStyle w:val="ListParagraph"/>
      </w:pPr>
      <w:r w:rsidRPr="1BFCA1A3">
        <w:t>Bandwidth allocation and latency reduction</w:t>
      </w:r>
    </w:p>
    <w:p w14:paraId="6C55FA7F" w14:textId="5A75D63F" w:rsidR="005E2C91" w:rsidRPr="005E2C91" w:rsidRDefault="005E2C91" w:rsidP="1BFCA1A3">
      <w:pPr>
        <w:pStyle w:val="ListParagraph"/>
      </w:pPr>
    </w:p>
    <w:p w14:paraId="6C87041C" w14:textId="77C5270E" w:rsidR="005E2C91" w:rsidRPr="005E2C91" w:rsidRDefault="005E2C91" w:rsidP="00ED7464">
      <w:pPr>
        <w:ind w:left="720"/>
        <w:rPr>
          <w:b/>
          <w:bCs/>
        </w:rPr>
      </w:pPr>
    </w:p>
    <w:p w14:paraId="12B59D16" w14:textId="233E7A9A" w:rsidR="005E2C91" w:rsidRPr="005E2C91" w:rsidRDefault="005E2C91" w:rsidP="00332ECF">
      <w:pPr>
        <w:pStyle w:val="Heading3"/>
      </w:pPr>
      <w:bookmarkStart w:id="3" w:name="_Toc191893461"/>
      <w:r w:rsidRPr="005E2C91">
        <w:t>2.2 Managed Security Operations Center (MSOC)</w:t>
      </w:r>
      <w:bookmarkEnd w:id="3"/>
      <w:r w:rsidR="00332ECF">
        <w:br/>
      </w:r>
    </w:p>
    <w:p w14:paraId="5C5812A8" w14:textId="77777777" w:rsidR="005E2C91" w:rsidRPr="005E2C91" w:rsidRDefault="005E2C91" w:rsidP="005E2C91">
      <w:r w:rsidRPr="005E2C91">
        <w:t>The MSOC service must provide 24/7 monitoring, detection, analysis, and response to cybersecurity incidents across all IT infrastructure and endpoints. Key services include:</w:t>
      </w:r>
    </w:p>
    <w:p w14:paraId="39D0A3AE" w14:textId="77777777" w:rsidR="005E2C91" w:rsidRPr="005E2C91" w:rsidRDefault="005E2C91">
      <w:pPr>
        <w:numPr>
          <w:ilvl w:val="0"/>
          <w:numId w:val="3"/>
        </w:numPr>
      </w:pPr>
      <w:r w:rsidRPr="1F279F9E">
        <w:rPr>
          <w:b/>
          <w:bCs/>
        </w:rPr>
        <w:t>SIEM (Security Information and Event Management)</w:t>
      </w:r>
      <w:r>
        <w:t>: Real-time collection, aggregation, and analysis of security event data.</w:t>
      </w:r>
    </w:p>
    <w:p w14:paraId="315BF599" w14:textId="308234B6" w:rsidR="7ECF5BB3" w:rsidRDefault="7ECF5BB3">
      <w:pPr>
        <w:numPr>
          <w:ilvl w:val="0"/>
          <w:numId w:val="3"/>
        </w:numPr>
        <w:rPr>
          <w:rFonts w:ascii="Century Gothic" w:eastAsia="Century Gothic" w:hAnsi="Century Gothic" w:cs="Century Gothic"/>
        </w:rPr>
      </w:pPr>
      <w:r w:rsidRPr="1F279F9E">
        <w:rPr>
          <w:rFonts w:ascii="Century Gothic" w:eastAsia="Century Gothic" w:hAnsi="Century Gothic" w:cs="Century Gothic"/>
          <w:b/>
          <w:bCs/>
        </w:rPr>
        <w:t xml:space="preserve">SOAR (Security </w:t>
      </w:r>
      <w:r w:rsidR="009AB408" w:rsidRPr="1F279F9E">
        <w:rPr>
          <w:rFonts w:ascii="Century Gothic" w:eastAsia="Century Gothic" w:hAnsi="Century Gothic" w:cs="Century Gothic"/>
          <w:b/>
          <w:bCs/>
        </w:rPr>
        <w:t>Orchestration, Automation</w:t>
      </w:r>
      <w:r w:rsidRPr="1F279F9E">
        <w:rPr>
          <w:rFonts w:ascii="Century Gothic" w:eastAsia="Century Gothic" w:hAnsi="Century Gothic" w:cs="Century Gothic"/>
          <w:b/>
          <w:bCs/>
        </w:rPr>
        <w:t>, and Response)</w:t>
      </w:r>
      <w:r w:rsidRPr="1F279F9E">
        <w:rPr>
          <w:rFonts w:ascii="Century Gothic" w:eastAsia="Century Gothic" w:hAnsi="Century Gothic" w:cs="Century Gothic"/>
        </w:rPr>
        <w:t>: "SOAR (Security Orchestration,</w:t>
      </w:r>
      <w:r w:rsidR="190CC9AC" w:rsidRPr="1F279F9E">
        <w:rPr>
          <w:rFonts w:ascii="Century Gothic" w:eastAsia="Century Gothic" w:hAnsi="Century Gothic" w:cs="Century Gothic"/>
        </w:rPr>
        <w:t xml:space="preserve"> </w:t>
      </w:r>
      <w:r w:rsidR="54634B2B" w:rsidRPr="1F279F9E">
        <w:rPr>
          <w:rFonts w:ascii="Century Gothic" w:eastAsia="Century Gothic" w:hAnsi="Century Gothic" w:cs="Century Gothic"/>
        </w:rPr>
        <w:t>UEBA, Automation</w:t>
      </w:r>
      <w:r w:rsidRPr="1F279F9E">
        <w:rPr>
          <w:rFonts w:ascii="Century Gothic" w:eastAsia="Century Gothic" w:hAnsi="Century Gothic" w:cs="Century Gothic"/>
        </w:rPr>
        <w:t>, and Response): The vendor must leverage SOAR to implement advanced automation capabilities, including:</w:t>
      </w:r>
    </w:p>
    <w:p w14:paraId="10AB0CE5" w14:textId="79FE8C1F" w:rsidR="7ECF5BB3" w:rsidRDefault="7ECF5BB3">
      <w:pPr>
        <w:pStyle w:val="ListParagraph"/>
        <w:numPr>
          <w:ilvl w:val="1"/>
          <w:numId w:val="3"/>
        </w:numPr>
        <w:spacing w:line="257" w:lineRule="auto"/>
        <w:rPr>
          <w:rFonts w:ascii="Century Gothic" w:eastAsia="Century Gothic" w:hAnsi="Century Gothic" w:cs="Century Gothic"/>
        </w:rPr>
      </w:pPr>
      <w:r w:rsidRPr="1F279F9E">
        <w:rPr>
          <w:rFonts w:ascii="Century Gothic" w:eastAsia="Century Gothic" w:hAnsi="Century Gothic" w:cs="Century Gothic"/>
        </w:rPr>
        <w:t>Dynamic Playbooks: Develop and deploy dynamic, pre-configured playbooks for common incident types (e.g., malware detection, phishing, brute-force attacks) that allow for automated detection, containment, and remediation.</w:t>
      </w:r>
    </w:p>
    <w:p w14:paraId="1A9FAB51" w14:textId="7BCC7BF9" w:rsidR="7ECF5BB3" w:rsidRDefault="7ECF5BB3">
      <w:pPr>
        <w:pStyle w:val="ListParagraph"/>
        <w:numPr>
          <w:ilvl w:val="1"/>
          <w:numId w:val="3"/>
        </w:numPr>
        <w:spacing w:line="257" w:lineRule="auto"/>
        <w:rPr>
          <w:rFonts w:ascii="Century Gothic" w:eastAsia="Century Gothic" w:hAnsi="Century Gothic" w:cs="Century Gothic"/>
        </w:rPr>
      </w:pPr>
      <w:r w:rsidRPr="1F279F9E">
        <w:rPr>
          <w:rFonts w:ascii="Century Gothic" w:eastAsia="Century Gothic" w:hAnsi="Century Gothic" w:cs="Century Gothic"/>
        </w:rPr>
        <w:t xml:space="preserve">Automated Threat Containment: Enable automated responses to high-confidence alerts, such as isolating compromised endpoints, blocking </w:t>
      </w:r>
      <w:r w:rsidRPr="1F279F9E">
        <w:rPr>
          <w:rFonts w:ascii="Century Gothic" w:eastAsia="Century Gothic" w:hAnsi="Century Gothic" w:cs="Century Gothic"/>
        </w:rPr>
        <w:lastRenderedPageBreak/>
        <w:t>malicious IP addresses, and disabling suspicious accounts, without requiring manual intervention.</w:t>
      </w:r>
    </w:p>
    <w:p w14:paraId="7534D70B" w14:textId="0B8CCB46" w:rsidR="7ECF5BB3" w:rsidRDefault="7ECF5BB3">
      <w:pPr>
        <w:pStyle w:val="ListParagraph"/>
        <w:numPr>
          <w:ilvl w:val="1"/>
          <w:numId w:val="3"/>
        </w:numPr>
        <w:spacing w:line="257" w:lineRule="auto"/>
        <w:rPr>
          <w:rFonts w:ascii="Century Gothic" w:eastAsia="Century Gothic" w:hAnsi="Century Gothic" w:cs="Century Gothic"/>
        </w:rPr>
      </w:pPr>
      <w:r w:rsidRPr="1F279F9E">
        <w:rPr>
          <w:rFonts w:ascii="Century Gothic" w:eastAsia="Century Gothic" w:hAnsi="Century Gothic" w:cs="Century Gothic"/>
        </w:rPr>
        <w:t>Machine Learning and AI Integration: Incorporate machine learning algorithms to refine automated workflows based on incident trends and threat patterns, improving detection and response over time.</w:t>
      </w:r>
    </w:p>
    <w:p w14:paraId="6F6025FC" w14:textId="6F39B4E3" w:rsidR="7ECF5BB3" w:rsidRDefault="7ECF5BB3">
      <w:pPr>
        <w:pStyle w:val="ListParagraph"/>
        <w:numPr>
          <w:ilvl w:val="1"/>
          <w:numId w:val="3"/>
        </w:numPr>
        <w:spacing w:line="257" w:lineRule="auto"/>
        <w:rPr>
          <w:rFonts w:ascii="Century Gothic" w:eastAsia="Century Gothic" w:hAnsi="Century Gothic" w:cs="Century Gothic"/>
        </w:rPr>
      </w:pPr>
      <w:r w:rsidRPr="1F279F9E">
        <w:rPr>
          <w:rFonts w:ascii="Century Gothic" w:eastAsia="Century Gothic" w:hAnsi="Century Gothic" w:cs="Century Gothic"/>
        </w:rPr>
        <w:t>Customizable Workflows: Provide flexibility for LRC to define and customize workflows based on organizational requirements, ensuring tailored responses to specific threat scenarios.</w:t>
      </w:r>
    </w:p>
    <w:p w14:paraId="6D3AC441" w14:textId="6ACAD0AA" w:rsidR="7ECF5BB3" w:rsidRDefault="7ECF5BB3">
      <w:pPr>
        <w:pStyle w:val="ListParagraph"/>
        <w:numPr>
          <w:ilvl w:val="1"/>
          <w:numId w:val="3"/>
        </w:numPr>
        <w:spacing w:line="257" w:lineRule="auto"/>
        <w:rPr>
          <w:rFonts w:ascii="Century Gothic" w:eastAsia="Century Gothic" w:hAnsi="Century Gothic" w:cs="Century Gothic"/>
        </w:rPr>
      </w:pPr>
      <w:r w:rsidRPr="1F279F9E">
        <w:rPr>
          <w:rFonts w:ascii="Century Gothic" w:eastAsia="Century Gothic" w:hAnsi="Century Gothic" w:cs="Century Gothic"/>
        </w:rPr>
        <w:t>Continuous Improvement: Include mechanisms to analyze past incidents and refine automation processes, ensuring SOAR remains effective against evolving threats.</w:t>
      </w:r>
    </w:p>
    <w:p w14:paraId="047C807E" w14:textId="20902BA6" w:rsidR="7ECF5BB3" w:rsidRDefault="7ECF5BB3">
      <w:pPr>
        <w:pStyle w:val="ListParagraph"/>
        <w:numPr>
          <w:ilvl w:val="1"/>
          <w:numId w:val="3"/>
        </w:numPr>
        <w:spacing w:line="257" w:lineRule="auto"/>
        <w:rPr>
          <w:rFonts w:ascii="Century Gothic" w:eastAsia="Century Gothic" w:hAnsi="Century Gothic" w:cs="Century Gothic"/>
        </w:rPr>
      </w:pPr>
      <w:r w:rsidRPr="1F279F9E">
        <w:rPr>
          <w:rFonts w:ascii="Century Gothic" w:eastAsia="Century Gothic" w:hAnsi="Century Gothic" w:cs="Century Gothic"/>
        </w:rPr>
        <w:t>Seamless Integration: Ensure SOAR integrates with existing tools, including SIEM, endpoint protection, and ticketing systems, to enable end-to-end automation of the incident lifecycle."</w:t>
      </w:r>
    </w:p>
    <w:p w14:paraId="340FA6EE" w14:textId="7A21245F" w:rsidR="65FA87BA" w:rsidRDefault="65FA87BA">
      <w:pPr>
        <w:numPr>
          <w:ilvl w:val="1"/>
          <w:numId w:val="3"/>
        </w:numPr>
      </w:pPr>
      <w:r w:rsidRPr="1F279F9E">
        <w:rPr>
          <w:rFonts w:ascii="Century Gothic" w:eastAsia="Century Gothic" w:hAnsi="Century Gothic" w:cs="Century Gothic"/>
        </w:rPr>
        <w:t>Detect deviations from baseline behavior, such as unusual login patterns, access to sensitive data, or unauthorized data transfers.</w:t>
      </w:r>
    </w:p>
    <w:p w14:paraId="45F5C185" w14:textId="77777777" w:rsidR="005E2C91" w:rsidRPr="005E2C91" w:rsidRDefault="005E2C91">
      <w:pPr>
        <w:numPr>
          <w:ilvl w:val="0"/>
          <w:numId w:val="3"/>
        </w:numPr>
      </w:pPr>
      <w:r w:rsidRPr="005E2C91">
        <w:rPr>
          <w:b/>
          <w:bCs/>
        </w:rPr>
        <w:t>Endpoint Detection and Response (EDR)</w:t>
      </w:r>
      <w:r w:rsidRPr="005E2C91">
        <w:t>: Continuous monitoring and response to security incidents on endpoint devices, ensuring the protection of user devices and servers.</w:t>
      </w:r>
    </w:p>
    <w:p w14:paraId="000DEADB" w14:textId="77777777" w:rsidR="005E2C91" w:rsidRPr="005E2C91" w:rsidRDefault="005E2C91">
      <w:pPr>
        <w:numPr>
          <w:ilvl w:val="0"/>
          <w:numId w:val="3"/>
        </w:numPr>
      </w:pPr>
      <w:r w:rsidRPr="005E2C91">
        <w:rPr>
          <w:b/>
          <w:bCs/>
        </w:rPr>
        <w:t>Threat Intelligence Integration</w:t>
      </w:r>
      <w:r w:rsidRPr="005E2C91">
        <w:t>: Integration with global threat intelligence providers to ensure proactive defense against emerging threats and zero-day attacks.</w:t>
      </w:r>
    </w:p>
    <w:p w14:paraId="191D5FEB" w14:textId="7E656000" w:rsidR="005E2C91" w:rsidRPr="005E2C91" w:rsidRDefault="76D745F9">
      <w:pPr>
        <w:numPr>
          <w:ilvl w:val="0"/>
          <w:numId w:val="3"/>
        </w:numPr>
        <w:rPr>
          <w:rFonts w:ascii="Century Gothic" w:eastAsia="Century Gothic" w:hAnsi="Century Gothic" w:cs="Century Gothic"/>
        </w:rPr>
      </w:pPr>
      <w:r w:rsidRPr="1F279F9E">
        <w:rPr>
          <w:rFonts w:ascii="Century Gothic" w:eastAsia="Century Gothic" w:hAnsi="Century Gothic" w:cs="Century Gothic"/>
          <w:b/>
          <w:bCs/>
        </w:rPr>
        <w:t>Vulnerability Management</w:t>
      </w:r>
      <w:r w:rsidRPr="1F279F9E">
        <w:rPr>
          <w:rFonts w:ascii="Century Gothic" w:eastAsia="Century Gothic" w:hAnsi="Century Gothic" w:cs="Century Gothic"/>
        </w:rPr>
        <w:t>: Ongoing vulnerability assessments, quarterly penetration testing (four per year), and timely remediation of identified risks. The process must include:</w:t>
      </w:r>
    </w:p>
    <w:p w14:paraId="548728E4" w14:textId="4D28803E" w:rsidR="005E2C91" w:rsidRPr="005E2C91" w:rsidRDefault="76D745F9">
      <w:pPr>
        <w:pStyle w:val="ListParagraph"/>
        <w:numPr>
          <w:ilvl w:val="1"/>
          <w:numId w:val="3"/>
        </w:numPr>
        <w:spacing w:line="257" w:lineRule="auto"/>
        <w:rPr>
          <w:rFonts w:ascii="Century Gothic" w:eastAsia="Century Gothic" w:hAnsi="Century Gothic" w:cs="Century Gothic"/>
        </w:rPr>
      </w:pPr>
      <w:r w:rsidRPr="1F279F9E">
        <w:rPr>
          <w:rFonts w:ascii="Century Gothic" w:eastAsia="Century Gothic" w:hAnsi="Century Gothic" w:cs="Century Gothic"/>
        </w:rPr>
        <w:t>Comprehensive Testing: Internal and external testing of systems, applications, and network infrastructure.</w:t>
      </w:r>
    </w:p>
    <w:p w14:paraId="1BF47B2C" w14:textId="25875723" w:rsidR="005E2C91" w:rsidRPr="005E2C91" w:rsidRDefault="76D745F9">
      <w:pPr>
        <w:pStyle w:val="ListParagraph"/>
        <w:numPr>
          <w:ilvl w:val="1"/>
          <w:numId w:val="3"/>
        </w:numPr>
        <w:spacing w:line="257" w:lineRule="auto"/>
        <w:rPr>
          <w:rFonts w:ascii="Century Gothic" w:eastAsia="Century Gothic" w:hAnsi="Century Gothic" w:cs="Century Gothic"/>
        </w:rPr>
      </w:pPr>
      <w:r w:rsidRPr="1F279F9E">
        <w:rPr>
          <w:rFonts w:ascii="Century Gothic" w:eastAsia="Century Gothic" w:hAnsi="Century Gothic" w:cs="Century Gothic"/>
        </w:rPr>
        <w:t>Red Team/Blue Team Exercises: Annual exercises to simulate advanced persistent threats (APTs) and assess SOC detection and response capabilities.</w:t>
      </w:r>
    </w:p>
    <w:p w14:paraId="3AF8A7A4" w14:textId="3498E029" w:rsidR="005E2C91" w:rsidRPr="005E2C91" w:rsidRDefault="76D745F9">
      <w:pPr>
        <w:pStyle w:val="ListParagraph"/>
        <w:numPr>
          <w:ilvl w:val="1"/>
          <w:numId w:val="3"/>
        </w:numPr>
        <w:spacing w:line="257" w:lineRule="auto"/>
        <w:rPr>
          <w:rFonts w:ascii="Century Gothic" w:eastAsia="Century Gothic" w:hAnsi="Century Gothic" w:cs="Century Gothic"/>
        </w:rPr>
      </w:pPr>
      <w:r w:rsidRPr="1F279F9E">
        <w:rPr>
          <w:rFonts w:ascii="Century Gothic" w:eastAsia="Century Gothic" w:hAnsi="Century Gothic" w:cs="Century Gothic"/>
        </w:rPr>
        <w:t>Post-Test Validation: Follow-up testing to confirm remediation effectiveness and eliminate residual risks.</w:t>
      </w:r>
    </w:p>
    <w:p w14:paraId="13F56F83" w14:textId="0FB5373C" w:rsidR="005E2C91" w:rsidRPr="005E2C91" w:rsidRDefault="76D745F9">
      <w:pPr>
        <w:pStyle w:val="ListParagraph"/>
        <w:numPr>
          <w:ilvl w:val="1"/>
          <w:numId w:val="3"/>
        </w:numPr>
        <w:spacing w:line="257" w:lineRule="auto"/>
        <w:rPr>
          <w:rFonts w:ascii="Century Gothic" w:eastAsia="Century Gothic" w:hAnsi="Century Gothic" w:cs="Century Gothic"/>
        </w:rPr>
      </w:pPr>
      <w:r w:rsidRPr="1F279F9E">
        <w:rPr>
          <w:rFonts w:ascii="Century Gothic" w:eastAsia="Century Gothic" w:hAnsi="Century Gothic" w:cs="Century Gothic"/>
        </w:rPr>
        <w:t>Detailed Reporting: Reports categorizing vulnerabilities by severity with actionable mitigation steps and timelines.</w:t>
      </w:r>
    </w:p>
    <w:p w14:paraId="523F2B79" w14:textId="7C43E48D" w:rsidR="005E2C91" w:rsidRPr="005E2C91" w:rsidRDefault="76D745F9">
      <w:pPr>
        <w:pStyle w:val="ListParagraph"/>
        <w:numPr>
          <w:ilvl w:val="1"/>
          <w:numId w:val="3"/>
        </w:numPr>
        <w:spacing w:line="257" w:lineRule="auto"/>
        <w:rPr>
          <w:rFonts w:ascii="Century Gothic" w:eastAsia="Century Gothic" w:hAnsi="Century Gothic" w:cs="Century Gothic"/>
        </w:rPr>
      </w:pPr>
      <w:r w:rsidRPr="1F279F9E">
        <w:rPr>
          <w:rFonts w:ascii="Century Gothic" w:eastAsia="Century Gothic" w:hAnsi="Century Gothic" w:cs="Century Gothic"/>
        </w:rPr>
        <w:t>Standards Compliance: Adherence to OWASP, NIST, and other recognized frameworks."</w:t>
      </w:r>
    </w:p>
    <w:p w14:paraId="30F77760" w14:textId="0AEC2A70" w:rsidR="005E2C91" w:rsidRPr="005E2C91" w:rsidRDefault="005E2C91" w:rsidP="1F279F9E">
      <w:pPr>
        <w:pStyle w:val="ListParagraph"/>
        <w:spacing w:line="257" w:lineRule="auto"/>
        <w:ind w:left="1080"/>
      </w:pPr>
      <w:r>
        <w:br/>
      </w:r>
    </w:p>
    <w:p w14:paraId="20AB70F9" w14:textId="1A2D65BE" w:rsidR="005E2C91" w:rsidRPr="00332ECF" w:rsidRDefault="005E2C91" w:rsidP="00332ECF">
      <w:pPr>
        <w:pStyle w:val="Heading3"/>
      </w:pPr>
      <w:bookmarkStart w:id="4" w:name="_Toc191893462"/>
      <w:r w:rsidRPr="00332ECF">
        <w:t>2.3 Additional Services</w:t>
      </w:r>
      <w:bookmarkEnd w:id="4"/>
      <w:r w:rsidR="00332ECF">
        <w:br/>
      </w:r>
    </w:p>
    <w:p w14:paraId="6C19D26D" w14:textId="77777777" w:rsidR="005E2C91" w:rsidRPr="005E2C91" w:rsidRDefault="005E2C91">
      <w:pPr>
        <w:numPr>
          <w:ilvl w:val="0"/>
          <w:numId w:val="4"/>
        </w:numPr>
      </w:pPr>
      <w:r w:rsidRPr="005E2C91">
        <w:rPr>
          <w:b/>
          <w:bCs/>
        </w:rPr>
        <w:t>Disaster Recovery Management</w:t>
      </w:r>
      <w:r w:rsidRPr="005E2C91">
        <w:t>: Ensuring the organization’s systems are resilient to failures and can recover rapidly from disruptions.</w:t>
      </w:r>
    </w:p>
    <w:p w14:paraId="35AA94DD" w14:textId="77777777" w:rsidR="005E2C91" w:rsidRPr="005E2C91" w:rsidRDefault="005E2C91">
      <w:pPr>
        <w:numPr>
          <w:ilvl w:val="0"/>
          <w:numId w:val="4"/>
        </w:numPr>
      </w:pPr>
      <w:r w:rsidRPr="005E2C91">
        <w:rPr>
          <w:b/>
          <w:bCs/>
        </w:rPr>
        <w:t>Business Continuity Planning (BCP)</w:t>
      </w:r>
      <w:r w:rsidRPr="005E2C91">
        <w:t>: Creating and maintaining plans to ensure that critical operations can continue in the event of a disaster.</w:t>
      </w:r>
    </w:p>
    <w:p w14:paraId="6C1DA019" w14:textId="77777777" w:rsidR="005E2C91" w:rsidRPr="005E2C91" w:rsidRDefault="005E2C91">
      <w:pPr>
        <w:numPr>
          <w:ilvl w:val="0"/>
          <w:numId w:val="4"/>
        </w:numPr>
      </w:pPr>
      <w:r w:rsidRPr="005E2C91">
        <w:rPr>
          <w:b/>
          <w:bCs/>
        </w:rPr>
        <w:t>Cybersecurity Awareness Training</w:t>
      </w:r>
      <w:r w:rsidRPr="005E2C91">
        <w:t>: Training LRC staff on best practices for security hygiene, threat detection, and incident reporting.</w:t>
      </w:r>
    </w:p>
    <w:p w14:paraId="4793D9AA" w14:textId="77777777" w:rsidR="005E2C91" w:rsidRPr="005E2C91" w:rsidRDefault="005E2C91">
      <w:pPr>
        <w:numPr>
          <w:ilvl w:val="0"/>
          <w:numId w:val="4"/>
        </w:numPr>
      </w:pPr>
      <w:r w:rsidRPr="005E2C91">
        <w:rPr>
          <w:b/>
          <w:bCs/>
        </w:rPr>
        <w:t>Dark Web Monitoring</w:t>
      </w:r>
      <w:r w:rsidRPr="005E2C91">
        <w:t>: Continuous scanning of dark web forums and marketplaces to identify any compromised data or threats related to LRC’s operations.</w:t>
      </w:r>
    </w:p>
    <w:p w14:paraId="0E122EE5" w14:textId="77777777" w:rsidR="005E2C91" w:rsidRPr="005E2C91" w:rsidRDefault="005E2C91">
      <w:pPr>
        <w:numPr>
          <w:ilvl w:val="0"/>
          <w:numId w:val="4"/>
        </w:numPr>
      </w:pPr>
      <w:r w:rsidRPr="005E2C91">
        <w:rPr>
          <w:b/>
          <w:bCs/>
        </w:rPr>
        <w:lastRenderedPageBreak/>
        <w:t>Incident Management Tool Integration</w:t>
      </w:r>
      <w:r w:rsidRPr="005E2C91">
        <w:t>: Integration of an automated incident response tool to streamline workflows and ensure timely response to incidents.</w:t>
      </w:r>
    </w:p>
    <w:p w14:paraId="6A9DBC63" w14:textId="5AA4F301" w:rsidR="005E2C91" w:rsidRPr="005E2C91" w:rsidRDefault="005E2C91">
      <w:pPr>
        <w:numPr>
          <w:ilvl w:val="0"/>
          <w:numId w:val="4"/>
        </w:numPr>
      </w:pPr>
      <w:r w:rsidRPr="005E2C91">
        <w:rPr>
          <w:b/>
          <w:bCs/>
        </w:rPr>
        <w:t>Regulatory Compliance Audits</w:t>
      </w:r>
      <w:r w:rsidRPr="005E2C91">
        <w:t>: Regular audits of infrastructure and practices to ensure compliance with relevant regulations, including GDPR, HIPAA, and ISO 27001.</w:t>
      </w:r>
      <w:r w:rsidR="00332ECF">
        <w:br/>
      </w:r>
    </w:p>
    <w:p w14:paraId="405120D2" w14:textId="050B440F" w:rsidR="005E2C91" w:rsidRPr="005E2C91" w:rsidRDefault="005E2C91" w:rsidP="00332ECF">
      <w:pPr>
        <w:pStyle w:val="Heading3"/>
      </w:pPr>
      <w:bookmarkStart w:id="5" w:name="_Toc191893463"/>
      <w:r w:rsidRPr="005E2C91">
        <w:t>3. Technical Requirements</w:t>
      </w:r>
      <w:bookmarkEnd w:id="5"/>
      <w:r w:rsidR="00332ECF">
        <w:br/>
      </w:r>
    </w:p>
    <w:p w14:paraId="0364DFA0" w14:textId="77777777" w:rsidR="005E2C91" w:rsidRPr="005E2C91" w:rsidRDefault="005E2C91" w:rsidP="005E2C91">
      <w:r w:rsidRPr="005E2C91">
        <w:t>The vendor must provide solutions that meet the following technical requirements:</w:t>
      </w:r>
    </w:p>
    <w:p w14:paraId="4FE3AD9A" w14:textId="77777777" w:rsidR="005E2C91" w:rsidRPr="005E2C91" w:rsidRDefault="005E2C91">
      <w:pPr>
        <w:numPr>
          <w:ilvl w:val="0"/>
          <w:numId w:val="5"/>
        </w:numPr>
      </w:pPr>
      <w:r w:rsidRPr="005E2C91">
        <w:rPr>
          <w:b/>
          <w:bCs/>
        </w:rPr>
        <w:t>Monitoring Platforms</w:t>
      </w:r>
      <w:r w:rsidRPr="005E2C91">
        <w:t>: Cloud-based solutions for scalability and flexibility, with a preference for those hosted in Lebanon for data sovereignty compliance.</w:t>
      </w:r>
    </w:p>
    <w:p w14:paraId="6C87DACA" w14:textId="77777777" w:rsidR="005E2C91" w:rsidRPr="005E2C91" w:rsidRDefault="005E2C91">
      <w:pPr>
        <w:numPr>
          <w:ilvl w:val="0"/>
          <w:numId w:val="5"/>
        </w:numPr>
      </w:pPr>
      <w:r w:rsidRPr="005E2C91">
        <w:rPr>
          <w:b/>
          <w:bCs/>
        </w:rPr>
        <w:t>Multi-Site Monitoring</w:t>
      </w:r>
      <w:r w:rsidRPr="005E2C91">
        <w:t>: Monitoring solutions that provide visibility across all sites, including remote offices and field operations.</w:t>
      </w:r>
    </w:p>
    <w:p w14:paraId="32E15C2A" w14:textId="77777777" w:rsidR="005E2C91" w:rsidRPr="005E2C91" w:rsidRDefault="005E2C91">
      <w:pPr>
        <w:numPr>
          <w:ilvl w:val="0"/>
          <w:numId w:val="5"/>
        </w:numPr>
      </w:pPr>
      <w:r w:rsidRPr="005E2C91">
        <w:rPr>
          <w:b/>
          <w:bCs/>
        </w:rPr>
        <w:t>Data Encryption and Security</w:t>
      </w:r>
      <w:r w:rsidRPr="005E2C91">
        <w:t>: All communication between monitoring platforms and LRC infrastructure must be encrypted using industry-standard encryption protocols.</w:t>
      </w:r>
    </w:p>
    <w:p w14:paraId="0A997693" w14:textId="1C3EACFF" w:rsidR="005E2C91" w:rsidRPr="005E2C91" w:rsidRDefault="005E2C91">
      <w:pPr>
        <w:numPr>
          <w:ilvl w:val="0"/>
          <w:numId w:val="5"/>
        </w:numPr>
      </w:pPr>
      <w:r w:rsidRPr="005E2C91">
        <w:rPr>
          <w:b/>
          <w:bCs/>
        </w:rPr>
        <w:t>Integration Capabilities</w:t>
      </w:r>
      <w:r w:rsidRPr="005E2C91">
        <w:t>: The solution must integrate seamlessly with existing LRC IT infrastructure, including ticketing systems, network management tools, and cybersecurity solutions.</w:t>
      </w:r>
      <w:r w:rsidR="00332ECF">
        <w:br/>
      </w:r>
    </w:p>
    <w:p w14:paraId="3C66AB89" w14:textId="2B7F794C" w:rsidR="005E2C91" w:rsidRPr="005E2C91" w:rsidRDefault="005E2C91" w:rsidP="00332ECF">
      <w:pPr>
        <w:pStyle w:val="Heading3"/>
      </w:pPr>
      <w:bookmarkStart w:id="6" w:name="_Toc191893464"/>
      <w:r w:rsidRPr="005E2C91">
        <w:t>4. Service Level Agreements (SLAs)</w:t>
      </w:r>
      <w:bookmarkEnd w:id="6"/>
      <w:r w:rsidR="00332ECF">
        <w:br/>
      </w:r>
    </w:p>
    <w:p w14:paraId="49CF8135" w14:textId="545D1719" w:rsidR="005E2C91" w:rsidRPr="005E2C91" w:rsidRDefault="005E2C91" w:rsidP="005E2C91">
      <w:r w:rsidRPr="005E2C91">
        <w:t>The SLAs must include the following performance metrics and benchmarks, based on global best practices for similar-sized organizations:</w:t>
      </w:r>
      <w:r w:rsidR="00332ECF">
        <w:br/>
      </w:r>
    </w:p>
    <w:p w14:paraId="389CB14F" w14:textId="124C06A8" w:rsidR="005E2C91" w:rsidRPr="005E2C91" w:rsidRDefault="005E2C91" w:rsidP="00332ECF">
      <w:pPr>
        <w:pStyle w:val="Heading3"/>
      </w:pPr>
      <w:bookmarkStart w:id="7" w:name="_Toc191893465"/>
      <w:r w:rsidRPr="005E2C91">
        <w:t>4.1 Uptime and Availability</w:t>
      </w:r>
      <w:bookmarkEnd w:id="7"/>
      <w:r w:rsidR="00332ECF">
        <w:br/>
      </w:r>
    </w:p>
    <w:p w14:paraId="6E4B027B" w14:textId="6870C2D7" w:rsidR="005E2C91" w:rsidRPr="005E2C91" w:rsidRDefault="005E2C91">
      <w:pPr>
        <w:numPr>
          <w:ilvl w:val="0"/>
          <w:numId w:val="6"/>
        </w:numPr>
      </w:pPr>
      <w:r w:rsidRPr="79345289">
        <w:rPr>
          <w:b/>
          <w:bCs/>
        </w:rPr>
        <w:t>Service Availability</w:t>
      </w:r>
      <w:r>
        <w:t xml:space="preserve">: 99.9% uptime for all </w:t>
      </w:r>
      <w:r w:rsidR="4B0A095F">
        <w:t>critically</w:t>
      </w:r>
      <w:r>
        <w:t xml:space="preserve"> managed services, including both NOC and SOC operations. Downtime beyond this threshold must be compensated as per the penalty clause.</w:t>
      </w:r>
    </w:p>
    <w:p w14:paraId="4EAB2045" w14:textId="77777777" w:rsidR="005E2C91" w:rsidRDefault="005E2C91">
      <w:pPr>
        <w:numPr>
          <w:ilvl w:val="0"/>
          <w:numId w:val="6"/>
        </w:numPr>
      </w:pPr>
      <w:r w:rsidRPr="005E2C91">
        <w:rPr>
          <w:b/>
          <w:bCs/>
        </w:rPr>
        <w:t>System Monitoring</w:t>
      </w:r>
      <w:r w:rsidRPr="005E2C91">
        <w:t>: Continuous monitoring of critical systems with alerts and automatic failover for redundancy in the event of failure.</w:t>
      </w:r>
    </w:p>
    <w:p w14:paraId="1063B5D7" w14:textId="77777777" w:rsidR="00332ECF" w:rsidRPr="005E2C91" w:rsidRDefault="00332ECF" w:rsidP="00CC374A">
      <w:pPr>
        <w:ind w:left="720"/>
      </w:pPr>
    </w:p>
    <w:p w14:paraId="1601CD03" w14:textId="5C43B1E6" w:rsidR="005E2C91" w:rsidRPr="005E2C91" w:rsidRDefault="005E2C91" w:rsidP="00332ECF">
      <w:pPr>
        <w:pStyle w:val="Heading3"/>
      </w:pPr>
      <w:bookmarkStart w:id="8" w:name="_Toc191893466"/>
      <w:r>
        <w:t>4.2 Incident Response and Resolution Times</w:t>
      </w:r>
      <w:bookmarkEnd w:id="8"/>
      <w:r>
        <w:br/>
      </w:r>
    </w:p>
    <w:p w14:paraId="0CD1F3D4" w14:textId="466FD710" w:rsidR="4B9C5E9A" w:rsidRDefault="4B9C5E9A">
      <w:pPr>
        <w:numPr>
          <w:ilvl w:val="0"/>
          <w:numId w:val="7"/>
        </w:numPr>
        <w:rPr>
          <w:rFonts w:ascii="Century Gothic" w:eastAsia="Century Gothic" w:hAnsi="Century Gothic" w:cs="Century Gothic"/>
        </w:rPr>
      </w:pPr>
      <w:r w:rsidRPr="1F279F9E">
        <w:rPr>
          <w:rFonts w:ascii="Century Gothic" w:eastAsia="Century Gothic" w:hAnsi="Century Gothic" w:cs="Century Gothic"/>
          <w:b/>
          <w:bCs/>
        </w:rPr>
        <w:t>Penetration Testing</w:t>
      </w:r>
      <w:r w:rsidRPr="1F279F9E">
        <w:rPr>
          <w:rFonts w:ascii="Century Gothic" w:eastAsia="Century Gothic" w:hAnsi="Century Gothic" w:cs="Century Gothic"/>
        </w:rPr>
        <w:t xml:space="preserve"> Frequency and Reporting: Vendors must ensure regular penetration testing is conducted, with:</w:t>
      </w:r>
    </w:p>
    <w:p w14:paraId="168F65A2" w14:textId="3A1DD31E" w:rsidR="4B9C5E9A" w:rsidRDefault="4B9C5E9A">
      <w:pPr>
        <w:pStyle w:val="ListParagraph"/>
        <w:numPr>
          <w:ilvl w:val="1"/>
          <w:numId w:val="7"/>
        </w:numPr>
        <w:spacing w:line="257" w:lineRule="auto"/>
        <w:rPr>
          <w:rFonts w:ascii="Century Gothic" w:eastAsia="Century Gothic" w:hAnsi="Century Gothic" w:cs="Century Gothic"/>
        </w:rPr>
      </w:pPr>
      <w:r w:rsidRPr="79345289">
        <w:rPr>
          <w:rFonts w:ascii="Century Gothic" w:eastAsia="Century Gothic" w:hAnsi="Century Gothic" w:cs="Century Gothic"/>
        </w:rPr>
        <w:t xml:space="preserve">Scheduled tests </w:t>
      </w:r>
      <w:r w:rsidR="0F026A84" w:rsidRPr="79345289">
        <w:rPr>
          <w:rFonts w:ascii="Century Gothic" w:eastAsia="Century Gothic" w:hAnsi="Century Gothic" w:cs="Century Gothic"/>
        </w:rPr>
        <w:t>are performed</w:t>
      </w:r>
      <w:r w:rsidRPr="79345289">
        <w:rPr>
          <w:rFonts w:ascii="Century Gothic" w:eastAsia="Century Gothic" w:hAnsi="Century Gothic" w:cs="Century Gothic"/>
        </w:rPr>
        <w:t xml:space="preserve"> at least every 3 months.</w:t>
      </w:r>
    </w:p>
    <w:p w14:paraId="47667911" w14:textId="7AC9DBFC" w:rsidR="4B9C5E9A" w:rsidRDefault="4B9C5E9A">
      <w:pPr>
        <w:pStyle w:val="ListParagraph"/>
        <w:numPr>
          <w:ilvl w:val="1"/>
          <w:numId w:val="7"/>
        </w:numPr>
        <w:spacing w:line="257" w:lineRule="auto"/>
        <w:rPr>
          <w:rFonts w:ascii="Century Gothic" w:eastAsia="Century Gothic" w:hAnsi="Century Gothic" w:cs="Century Gothic"/>
        </w:rPr>
      </w:pPr>
      <w:r w:rsidRPr="1F279F9E">
        <w:rPr>
          <w:rFonts w:ascii="Century Gothic" w:eastAsia="Century Gothic" w:hAnsi="Century Gothic" w:cs="Century Gothic"/>
        </w:rPr>
        <w:t>Reports delivered within 10 business days post-testing, including identified risks and mitigation plans.</w:t>
      </w:r>
    </w:p>
    <w:p w14:paraId="039612BB" w14:textId="2267A047" w:rsidR="4B9C5E9A" w:rsidRDefault="4B9C5E9A">
      <w:pPr>
        <w:pStyle w:val="ListParagraph"/>
        <w:numPr>
          <w:ilvl w:val="1"/>
          <w:numId w:val="7"/>
        </w:numPr>
        <w:spacing w:line="257" w:lineRule="auto"/>
        <w:rPr>
          <w:rFonts w:ascii="Century Gothic" w:eastAsia="Century Gothic" w:hAnsi="Century Gothic" w:cs="Century Gothic"/>
        </w:rPr>
      </w:pPr>
      <w:r w:rsidRPr="1F279F9E">
        <w:rPr>
          <w:rFonts w:ascii="Century Gothic" w:eastAsia="Century Gothic" w:hAnsi="Century Gothic" w:cs="Century Gothic"/>
        </w:rPr>
        <w:t>Critical vulnerabilities addressed within 25 days of identification, with penalties for delays in resolution."</w:t>
      </w:r>
    </w:p>
    <w:p w14:paraId="6CAF8FEF" w14:textId="2E15B775" w:rsidR="1F279F9E" w:rsidRDefault="1F279F9E" w:rsidP="1F279F9E">
      <w:pPr>
        <w:ind w:left="720"/>
      </w:pPr>
    </w:p>
    <w:p w14:paraId="5E22ACAD" w14:textId="52CBA0B5" w:rsidR="005E2C91" w:rsidRPr="005E2C91" w:rsidRDefault="005E2C91">
      <w:pPr>
        <w:numPr>
          <w:ilvl w:val="0"/>
          <w:numId w:val="7"/>
        </w:numPr>
      </w:pPr>
      <w:r w:rsidRPr="005E2C91">
        <w:rPr>
          <w:b/>
          <w:bCs/>
        </w:rPr>
        <w:t>Incident Detection</w:t>
      </w:r>
      <w:r w:rsidRPr="005E2C91">
        <w:t>: The ystem must detect critical incidents (e.g., security breaches, service outages) within 5 minutes of occurrence.</w:t>
      </w:r>
    </w:p>
    <w:p w14:paraId="734758B6" w14:textId="77777777" w:rsidR="005E2C91" w:rsidRPr="005E2C91" w:rsidRDefault="005E2C91">
      <w:pPr>
        <w:numPr>
          <w:ilvl w:val="0"/>
          <w:numId w:val="7"/>
        </w:numPr>
      </w:pPr>
      <w:r w:rsidRPr="005E2C91">
        <w:rPr>
          <w:b/>
          <w:bCs/>
        </w:rPr>
        <w:t>Initial Response Time</w:t>
      </w:r>
      <w:r w:rsidRPr="005E2C91">
        <w:t>: Acknowledgment of critical incidents within 15 minutes of detection.</w:t>
      </w:r>
    </w:p>
    <w:p w14:paraId="13234597" w14:textId="77777777" w:rsidR="005E2C91" w:rsidRPr="005E2C91" w:rsidRDefault="005E2C91">
      <w:pPr>
        <w:numPr>
          <w:ilvl w:val="0"/>
          <w:numId w:val="7"/>
        </w:numPr>
      </w:pPr>
      <w:r w:rsidRPr="005E2C91">
        <w:rPr>
          <w:b/>
          <w:bCs/>
        </w:rPr>
        <w:t>Incident Resolution</w:t>
      </w:r>
      <w:r w:rsidRPr="005E2C91">
        <w:t>:</w:t>
      </w:r>
    </w:p>
    <w:p w14:paraId="4B3174EA" w14:textId="77777777" w:rsidR="005E2C91" w:rsidRPr="005E2C91" w:rsidRDefault="005E2C91">
      <w:pPr>
        <w:numPr>
          <w:ilvl w:val="1"/>
          <w:numId w:val="7"/>
        </w:numPr>
      </w:pPr>
      <w:r w:rsidRPr="005E2C91">
        <w:t>High Priority Incidents (e.g., cybersecurity breach, critical network downtime): Resolution or mitigation within 2 hours.</w:t>
      </w:r>
    </w:p>
    <w:p w14:paraId="435F24A7" w14:textId="77777777" w:rsidR="005E2C91" w:rsidRPr="005E2C91" w:rsidRDefault="005E2C91">
      <w:pPr>
        <w:numPr>
          <w:ilvl w:val="1"/>
          <w:numId w:val="7"/>
        </w:numPr>
      </w:pPr>
      <w:r w:rsidRPr="005E2C91">
        <w:lastRenderedPageBreak/>
        <w:t>Medium Priority Incidents (e.g., non-critical system performance issues): Resolution or mitigation within 6 hours.</w:t>
      </w:r>
    </w:p>
    <w:p w14:paraId="340DE6DF" w14:textId="2C0CB89F" w:rsidR="005E2C91" w:rsidRPr="005E2C91" w:rsidRDefault="005E2C91">
      <w:pPr>
        <w:numPr>
          <w:ilvl w:val="1"/>
          <w:numId w:val="7"/>
        </w:numPr>
      </w:pPr>
      <w:r w:rsidRPr="005E2C91">
        <w:t>Low Priority Incidents (e.g., minor issues with no immediate impact on operations): Resolution within 24 hours.</w:t>
      </w:r>
      <w:r w:rsidR="00332ECF">
        <w:br/>
      </w:r>
    </w:p>
    <w:p w14:paraId="145EC870" w14:textId="7F136D18" w:rsidR="005E2C91" w:rsidRPr="005E2C91" w:rsidRDefault="005E2C91" w:rsidP="00332ECF">
      <w:pPr>
        <w:pStyle w:val="Heading3"/>
      </w:pPr>
      <w:bookmarkStart w:id="9" w:name="_Toc191893467"/>
      <w:r w:rsidRPr="005E2C91">
        <w:t>4.3 Disaster Recovery and Business Continuity</w:t>
      </w:r>
      <w:bookmarkEnd w:id="9"/>
      <w:r w:rsidR="00332ECF">
        <w:br/>
      </w:r>
    </w:p>
    <w:p w14:paraId="133C38D9" w14:textId="77777777" w:rsidR="005E2C91" w:rsidRPr="005E2C91" w:rsidRDefault="005E2C91">
      <w:pPr>
        <w:numPr>
          <w:ilvl w:val="0"/>
          <w:numId w:val="8"/>
        </w:numPr>
      </w:pPr>
      <w:r w:rsidRPr="005E2C91">
        <w:rPr>
          <w:b/>
          <w:bCs/>
        </w:rPr>
        <w:t>Recovery Point Objective (RPO)</w:t>
      </w:r>
      <w:r w:rsidRPr="005E2C91">
        <w:t>: The maximum acceptable amount of data loss is 1 hour.</w:t>
      </w:r>
    </w:p>
    <w:p w14:paraId="085D8D3D" w14:textId="274D40E9" w:rsidR="005E2C91" w:rsidRPr="005E2C91" w:rsidRDefault="005E2C91">
      <w:pPr>
        <w:numPr>
          <w:ilvl w:val="0"/>
          <w:numId w:val="8"/>
        </w:numPr>
      </w:pPr>
      <w:r w:rsidRPr="005E2C91">
        <w:rPr>
          <w:b/>
          <w:bCs/>
        </w:rPr>
        <w:t>Recovery Time Objective (RTO)</w:t>
      </w:r>
      <w:r w:rsidRPr="005E2C91">
        <w:t>: The maximum allowable downtime for critical systems is 4 hours.</w:t>
      </w:r>
      <w:r w:rsidR="00332ECF">
        <w:br/>
      </w:r>
    </w:p>
    <w:p w14:paraId="08001DAD" w14:textId="493A7946" w:rsidR="005E2C91" w:rsidRPr="005E2C91" w:rsidRDefault="005E2C91">
      <w:pPr>
        <w:pStyle w:val="Heading3"/>
        <w:numPr>
          <w:ilvl w:val="1"/>
          <w:numId w:val="32"/>
        </w:numPr>
      </w:pPr>
      <w:bookmarkStart w:id="10" w:name="_Toc191893468"/>
      <w:r w:rsidRPr="005E2C91">
        <w:t>Compliance and Reporting</w:t>
      </w:r>
      <w:bookmarkEnd w:id="10"/>
      <w:r w:rsidR="00332ECF">
        <w:br/>
      </w:r>
    </w:p>
    <w:p w14:paraId="3D89C007" w14:textId="77777777" w:rsidR="0060575A" w:rsidRDefault="005E2C91">
      <w:pPr>
        <w:numPr>
          <w:ilvl w:val="0"/>
          <w:numId w:val="9"/>
        </w:numPr>
      </w:pPr>
      <w:r w:rsidRPr="005E2C91">
        <w:rPr>
          <w:b/>
          <w:bCs/>
        </w:rPr>
        <w:t>Audit Reporting</w:t>
      </w:r>
      <w:r w:rsidRPr="005E2C91">
        <w:t>: Monthly and quarterly audit reports, including security posture reviews, compliance checks, and recommendations for improvements.</w:t>
      </w:r>
    </w:p>
    <w:p w14:paraId="217C0B47" w14:textId="537152FE" w:rsidR="00ED7464" w:rsidRPr="0060575A" w:rsidRDefault="005E2C91">
      <w:pPr>
        <w:numPr>
          <w:ilvl w:val="0"/>
          <w:numId w:val="9"/>
        </w:numPr>
        <w:spacing w:after="160" w:line="259" w:lineRule="auto"/>
        <w:rPr>
          <w:rFonts w:asciiTheme="minorHAnsi" w:hAnsiTheme="minorHAnsi" w:cstheme="minorBidi"/>
          <w:sz w:val="22"/>
          <w:szCs w:val="22"/>
        </w:rPr>
      </w:pPr>
      <w:r w:rsidRPr="0060575A">
        <w:rPr>
          <w:b/>
          <w:bCs/>
        </w:rPr>
        <w:t>Compliance Audits</w:t>
      </w:r>
      <w:r w:rsidRPr="005E2C91">
        <w:t xml:space="preserve">: Annual external compliance audits with ISO 27001, </w:t>
      </w:r>
      <w:r w:rsidR="00ED7464" w:rsidRPr="0060575A">
        <w:rPr>
          <w:rFonts w:asciiTheme="minorHAnsi" w:hAnsiTheme="minorHAnsi" w:cstheme="minorBidi"/>
          <w:sz w:val="22"/>
          <w:szCs w:val="22"/>
        </w:rPr>
        <w:t>HIPAA</w:t>
      </w:r>
      <w:r w:rsidR="0060575A" w:rsidRPr="0060575A">
        <w:rPr>
          <w:rFonts w:asciiTheme="minorHAnsi" w:hAnsiTheme="minorHAnsi" w:cstheme="minorBidi"/>
          <w:sz w:val="22"/>
          <w:szCs w:val="22"/>
        </w:rPr>
        <w:t>,</w:t>
      </w:r>
    </w:p>
    <w:p w14:paraId="36A2ECD5" w14:textId="76AF4CCE" w:rsidR="005E2C91" w:rsidRPr="005E2C91" w:rsidRDefault="005E2C91" w:rsidP="00ED7464">
      <w:pPr>
        <w:ind w:left="720"/>
      </w:pPr>
      <w:r w:rsidRPr="005E2C91">
        <w:t>GDPR, and relevant cybersecurity regulations.</w:t>
      </w:r>
    </w:p>
    <w:p w14:paraId="23646A11" w14:textId="2118A7A8" w:rsidR="005E2C91" w:rsidRPr="005E2C91" w:rsidRDefault="005E2C91" w:rsidP="00332ECF">
      <w:pPr>
        <w:pStyle w:val="Heading3"/>
      </w:pPr>
      <w:bookmarkStart w:id="11" w:name="_Toc191893469"/>
      <w:r w:rsidRPr="005E2C91">
        <w:t>4.5 Escalation Procedures</w:t>
      </w:r>
      <w:bookmarkEnd w:id="11"/>
      <w:r w:rsidR="00332ECF">
        <w:br/>
      </w:r>
    </w:p>
    <w:p w14:paraId="5E45DAFA" w14:textId="77777777" w:rsidR="005E2C91" w:rsidRPr="005E2C91" w:rsidRDefault="005E2C91">
      <w:pPr>
        <w:numPr>
          <w:ilvl w:val="0"/>
          <w:numId w:val="10"/>
        </w:numPr>
      </w:pPr>
      <w:r w:rsidRPr="005E2C91">
        <w:rPr>
          <w:b/>
          <w:bCs/>
        </w:rPr>
        <w:t>Tiered Escalation Process</w:t>
      </w:r>
      <w:r w:rsidRPr="005E2C91">
        <w:t>: Defined escalation levels with clear response times for unresolved issues at each tier.</w:t>
      </w:r>
    </w:p>
    <w:p w14:paraId="38EE89A1" w14:textId="49E4965F" w:rsidR="005E2C91" w:rsidRPr="005E2C91" w:rsidRDefault="005E2C91">
      <w:pPr>
        <w:numPr>
          <w:ilvl w:val="0"/>
          <w:numId w:val="10"/>
        </w:numPr>
      </w:pPr>
      <w:r w:rsidRPr="005E2C91">
        <w:rPr>
          <w:b/>
          <w:bCs/>
        </w:rPr>
        <w:t>Major Incident Review</w:t>
      </w:r>
      <w:r w:rsidRPr="005E2C91">
        <w:t>: All major incidents (security breaches, critical system downtime) will be reviewed within 48 hours of resolution, with a report detailing actions taken and lessons learned.</w:t>
      </w:r>
      <w:r w:rsidR="00332ECF">
        <w:br/>
      </w:r>
    </w:p>
    <w:p w14:paraId="3222B30A" w14:textId="61699925" w:rsidR="005E2C91" w:rsidRPr="005E2C91" w:rsidRDefault="005E2C91" w:rsidP="00332ECF">
      <w:pPr>
        <w:pStyle w:val="Heading3"/>
      </w:pPr>
      <w:bookmarkStart w:id="12" w:name="_Toc191893470"/>
      <w:r w:rsidRPr="005E2C91">
        <w:t>5. Vendor Qualifications</w:t>
      </w:r>
      <w:bookmarkEnd w:id="12"/>
      <w:r w:rsidR="00332ECF">
        <w:br/>
      </w:r>
    </w:p>
    <w:p w14:paraId="783B6065" w14:textId="77777777" w:rsidR="005E2C91" w:rsidRPr="005E2C91" w:rsidRDefault="005E2C91" w:rsidP="005E2C91">
      <w:r w:rsidRPr="005E2C91">
        <w:t>Vendors must meet the following qualifications:</w:t>
      </w:r>
    </w:p>
    <w:p w14:paraId="18EDF3C3" w14:textId="77777777" w:rsidR="005E2C91" w:rsidRPr="005E2C91" w:rsidRDefault="005E2C91">
      <w:pPr>
        <w:numPr>
          <w:ilvl w:val="0"/>
          <w:numId w:val="11"/>
        </w:numPr>
      </w:pPr>
      <w:r w:rsidRPr="005E2C91">
        <w:rPr>
          <w:b/>
          <w:bCs/>
        </w:rPr>
        <w:t>Industry Certifications</w:t>
      </w:r>
      <w:r w:rsidRPr="005E2C91">
        <w:t>: Cisco Gold Partner, ISO 27001 certification, and a recognized SIEM MSSP partner.</w:t>
      </w:r>
    </w:p>
    <w:p w14:paraId="7BAD370F" w14:textId="77777777" w:rsidR="005E2C91" w:rsidRPr="005E2C91" w:rsidRDefault="005E2C91">
      <w:pPr>
        <w:numPr>
          <w:ilvl w:val="0"/>
          <w:numId w:val="11"/>
        </w:numPr>
      </w:pPr>
      <w:r w:rsidRPr="005E2C91">
        <w:rPr>
          <w:b/>
          <w:bCs/>
        </w:rPr>
        <w:t>Experience</w:t>
      </w:r>
      <w:r w:rsidRPr="005E2C91">
        <w:t>: Proven experience working with NGOs or large humanitarian organizations. References from at least 4 similar organizations (at least 1 NGO).</w:t>
      </w:r>
    </w:p>
    <w:p w14:paraId="3F2635A2" w14:textId="2B250A18" w:rsidR="005E2C91" w:rsidRPr="005E2C91" w:rsidRDefault="005E2C91">
      <w:pPr>
        <w:numPr>
          <w:ilvl w:val="0"/>
          <w:numId w:val="11"/>
        </w:numPr>
      </w:pPr>
      <w:r w:rsidRPr="005E2C91">
        <w:rPr>
          <w:b/>
          <w:bCs/>
        </w:rPr>
        <w:t>Certified Staff</w:t>
      </w:r>
      <w:r w:rsidRPr="005E2C91">
        <w:t>: A team of certified professionals, including CCIE, CISSP, CEH, and ITIL certifications, with a minimum of 3 years of experience in NOC/SOC operations.</w:t>
      </w:r>
      <w:r w:rsidR="00332ECF">
        <w:br/>
      </w:r>
    </w:p>
    <w:p w14:paraId="37E45301" w14:textId="4700F28A" w:rsidR="005E2C91" w:rsidRPr="005E2C91" w:rsidRDefault="005E2C91" w:rsidP="00332ECF">
      <w:pPr>
        <w:pStyle w:val="Heading3"/>
      </w:pPr>
      <w:bookmarkStart w:id="13" w:name="_Toc191893471"/>
      <w:r w:rsidRPr="005E2C91">
        <w:t>6. Compliance and Security Standards</w:t>
      </w:r>
      <w:bookmarkEnd w:id="13"/>
      <w:r w:rsidR="00332ECF">
        <w:br/>
      </w:r>
    </w:p>
    <w:p w14:paraId="4D512E52" w14:textId="77777777" w:rsidR="005E2C91" w:rsidRPr="005E2C91" w:rsidRDefault="005E2C91" w:rsidP="005E2C91">
      <w:r w:rsidRPr="005E2C91">
        <w:t>The vendor must comply with the following standards:</w:t>
      </w:r>
    </w:p>
    <w:p w14:paraId="3E6ADB47" w14:textId="77777777" w:rsidR="005E2C91" w:rsidRPr="005E2C91" w:rsidRDefault="005E2C91">
      <w:pPr>
        <w:numPr>
          <w:ilvl w:val="0"/>
          <w:numId w:val="12"/>
        </w:numPr>
      </w:pPr>
      <w:r w:rsidRPr="005E2C91">
        <w:rPr>
          <w:b/>
          <w:bCs/>
        </w:rPr>
        <w:t>ISO 27001</w:t>
      </w:r>
      <w:r w:rsidRPr="005E2C91">
        <w:t>: Information security management.</w:t>
      </w:r>
    </w:p>
    <w:p w14:paraId="246B0451" w14:textId="77777777" w:rsidR="005E2C91" w:rsidRPr="005E2C91" w:rsidRDefault="005E2C91">
      <w:pPr>
        <w:numPr>
          <w:ilvl w:val="0"/>
          <w:numId w:val="12"/>
        </w:numPr>
      </w:pPr>
      <w:r w:rsidRPr="005E2C91">
        <w:rPr>
          <w:b/>
          <w:bCs/>
        </w:rPr>
        <w:t>GDPR</w:t>
      </w:r>
      <w:r w:rsidRPr="005E2C91">
        <w:t>: General Data Protection Regulation compliance.</w:t>
      </w:r>
    </w:p>
    <w:p w14:paraId="389162E1" w14:textId="77777777" w:rsidR="005E2C91" w:rsidRPr="005E2C91" w:rsidRDefault="005E2C91">
      <w:pPr>
        <w:numPr>
          <w:ilvl w:val="0"/>
          <w:numId w:val="12"/>
        </w:numPr>
      </w:pPr>
      <w:r w:rsidRPr="005E2C91">
        <w:rPr>
          <w:b/>
          <w:bCs/>
        </w:rPr>
        <w:t>ITIL</w:t>
      </w:r>
      <w:r w:rsidRPr="005E2C91">
        <w:t>: Adherence to ITIL best practices for service management.</w:t>
      </w:r>
    </w:p>
    <w:p w14:paraId="776FDABD" w14:textId="73DAA389" w:rsidR="00FF7F31" w:rsidRDefault="005E2C91">
      <w:pPr>
        <w:numPr>
          <w:ilvl w:val="0"/>
          <w:numId w:val="12"/>
        </w:numPr>
      </w:pPr>
      <w:r w:rsidRPr="005E2C91">
        <w:rPr>
          <w:b/>
          <w:bCs/>
        </w:rPr>
        <w:t>NIST CSF</w:t>
      </w:r>
      <w:r w:rsidRPr="005E2C91">
        <w:t>: Compliance with the National Institute of Standards and Technology (NIST) Cybersecurity Framework.</w:t>
      </w:r>
      <w:r w:rsidR="00332ECF">
        <w:br/>
      </w:r>
    </w:p>
    <w:p w14:paraId="3F45177C" w14:textId="77777777" w:rsidR="009370A5" w:rsidRPr="009370A5" w:rsidRDefault="009370A5" w:rsidP="009370A5"/>
    <w:p w14:paraId="26BC117E" w14:textId="079DAF13" w:rsidR="005E2C91" w:rsidRPr="005E2C91" w:rsidRDefault="005E2C91" w:rsidP="00332ECF">
      <w:pPr>
        <w:pStyle w:val="Heading3"/>
      </w:pPr>
      <w:bookmarkStart w:id="14" w:name="_Toc191893472"/>
      <w:r w:rsidRPr="005E2C91">
        <w:lastRenderedPageBreak/>
        <w:t>8. Submission Guidelines</w:t>
      </w:r>
      <w:bookmarkEnd w:id="14"/>
      <w:r w:rsidR="00332ECF">
        <w:br/>
      </w:r>
    </w:p>
    <w:p w14:paraId="17F7DAC1" w14:textId="00126292" w:rsidR="005E2C91" w:rsidRPr="005E2C91" w:rsidRDefault="005E2C91" w:rsidP="005E2C91">
      <w:r w:rsidRPr="005E2C91">
        <w:t>Proposals submitted include the following:</w:t>
      </w:r>
    </w:p>
    <w:p w14:paraId="1A8FD8A3" w14:textId="77777777" w:rsidR="005E2C91" w:rsidRPr="005E2C91" w:rsidRDefault="005E2C91">
      <w:pPr>
        <w:numPr>
          <w:ilvl w:val="0"/>
          <w:numId w:val="14"/>
        </w:numPr>
      </w:pPr>
      <w:r w:rsidRPr="005E2C91">
        <w:rPr>
          <w:b/>
          <w:bCs/>
        </w:rPr>
        <w:t>Technical Proposal</w:t>
      </w:r>
      <w:r w:rsidRPr="005E2C91">
        <w:t>: Details of services offered, technical specifications, and integration capabilities.</w:t>
      </w:r>
    </w:p>
    <w:p w14:paraId="1B769360" w14:textId="77777777" w:rsidR="005E2C91" w:rsidRPr="005E2C91" w:rsidRDefault="005E2C91">
      <w:pPr>
        <w:numPr>
          <w:ilvl w:val="0"/>
          <w:numId w:val="14"/>
        </w:numPr>
      </w:pPr>
      <w:r w:rsidRPr="005E2C91">
        <w:rPr>
          <w:b/>
          <w:bCs/>
        </w:rPr>
        <w:t>Financial Proposal</w:t>
      </w:r>
      <w:r w:rsidRPr="005E2C91">
        <w:t>: Detailed cost breakdown for a 3-year contract, including options for annual increases.</w:t>
      </w:r>
    </w:p>
    <w:p w14:paraId="2F007928" w14:textId="77777777" w:rsidR="005E2C91" w:rsidRPr="005E2C91" w:rsidRDefault="005E2C91">
      <w:pPr>
        <w:numPr>
          <w:ilvl w:val="0"/>
          <w:numId w:val="14"/>
        </w:numPr>
      </w:pPr>
      <w:r w:rsidRPr="005E2C91">
        <w:rPr>
          <w:b/>
          <w:bCs/>
        </w:rPr>
        <w:t>Vendor Qualifications</w:t>
      </w:r>
      <w:r w:rsidRPr="005E2C91">
        <w:t>: Certifications, references, and staff CVs.</w:t>
      </w:r>
    </w:p>
    <w:p w14:paraId="4034BE9C" w14:textId="77777777" w:rsidR="005E2C91" w:rsidRPr="005E2C91" w:rsidRDefault="005E2C91">
      <w:pPr>
        <w:numPr>
          <w:ilvl w:val="0"/>
          <w:numId w:val="14"/>
        </w:numPr>
      </w:pPr>
      <w:r w:rsidRPr="005E2C91">
        <w:rPr>
          <w:b/>
          <w:bCs/>
        </w:rPr>
        <w:t>SLA Document</w:t>
      </w:r>
      <w:r w:rsidRPr="005E2C91">
        <w:t>: A detailed SLA, including uptime, incident response times, escalation procedures, and reporting frequency.</w:t>
      </w:r>
    </w:p>
    <w:p w14:paraId="58B900E2" w14:textId="77777777" w:rsidR="005B35F6" w:rsidRDefault="005B35F6" w:rsidP="00332ECF">
      <w:pPr>
        <w:pStyle w:val="Heading3"/>
      </w:pPr>
    </w:p>
    <w:p w14:paraId="1076285B" w14:textId="5C5C370E" w:rsidR="0074682D" w:rsidRPr="0074682D" w:rsidRDefault="0074682D" w:rsidP="00332ECF">
      <w:pPr>
        <w:pStyle w:val="Heading3"/>
      </w:pPr>
      <w:bookmarkStart w:id="15" w:name="_Toc191893473"/>
      <w:r w:rsidRPr="0074682D">
        <w:t>9. Existing Environment and Site Breakdown</w:t>
      </w:r>
      <w:bookmarkEnd w:id="15"/>
      <w:r w:rsidR="00F5149F">
        <w:br/>
      </w:r>
    </w:p>
    <w:p w14:paraId="4A278A0A" w14:textId="3E227981" w:rsidR="00ED7464" w:rsidRDefault="0074682D" w:rsidP="00EA0233">
      <w:r w:rsidRPr="0074682D">
        <w:t>The following tables outline the updated infrastructure and assets across all LRC sites, which will be included in the scope of the tender for Managed Network Operations Center (MNOC) and Managed Security Operations Center (MSOC) services. This includes proactive monitoring for critical systems such as UPS and temperature sensors at key locations.</w:t>
      </w:r>
      <w:r w:rsidR="00F5149F">
        <w:br/>
      </w:r>
    </w:p>
    <w:p w14:paraId="62FA0E20" w14:textId="77777777" w:rsidR="0046011B" w:rsidRPr="0074682D" w:rsidRDefault="0046011B" w:rsidP="0074682D"/>
    <w:p w14:paraId="2AFAE206" w14:textId="77777777" w:rsidR="0046011B" w:rsidRDefault="0074682D" w:rsidP="00332ECF">
      <w:pPr>
        <w:pStyle w:val="Heading3"/>
      </w:pPr>
      <w:bookmarkStart w:id="16" w:name="_Toc191893474"/>
      <w:r w:rsidRPr="0074682D">
        <w:t>9.1 Site Breakdown</w:t>
      </w:r>
      <w:bookmarkEnd w:id="16"/>
      <w:r w:rsidR="0046011B">
        <w:br/>
      </w:r>
    </w:p>
    <w:tbl>
      <w:tblPr>
        <w:tblW w:w="10546" w:type="dxa"/>
        <w:tblLayout w:type="fixed"/>
        <w:tblLook w:val="04A0" w:firstRow="1" w:lastRow="0" w:firstColumn="1" w:lastColumn="0" w:noHBand="0" w:noVBand="1"/>
      </w:tblPr>
      <w:tblGrid>
        <w:gridCol w:w="1049"/>
        <w:gridCol w:w="1068"/>
        <w:gridCol w:w="866"/>
        <w:gridCol w:w="560"/>
        <w:gridCol w:w="773"/>
        <w:gridCol w:w="777"/>
        <w:gridCol w:w="723"/>
        <w:gridCol w:w="494"/>
        <w:gridCol w:w="629"/>
        <w:gridCol w:w="916"/>
        <w:gridCol w:w="881"/>
        <w:gridCol w:w="698"/>
        <w:gridCol w:w="462"/>
        <w:gridCol w:w="650"/>
      </w:tblGrid>
      <w:tr w:rsidR="00945AE4" w:rsidRPr="0046011B" w14:paraId="4ABF7511" w14:textId="77777777" w:rsidTr="00945AE4">
        <w:trPr>
          <w:cantSplit/>
          <w:trHeight w:val="1265"/>
        </w:trPr>
        <w:tc>
          <w:tcPr>
            <w:tcW w:w="1049"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180B8313" w14:textId="7BC9EC64" w:rsidR="00945AE4" w:rsidRPr="00945AE4" w:rsidRDefault="00945AE4" w:rsidP="00945AE4">
            <w:pPr>
              <w:ind w:left="113" w:right="113"/>
              <w:jc w:val="center"/>
              <w:rPr>
                <w:rFonts w:ascii="Calibri" w:hAnsi="Calibri" w:cs="Calibri"/>
                <w:b/>
                <w:bCs/>
                <w:color w:val="FFFFFF"/>
                <w:sz w:val="20"/>
                <w:szCs w:val="20"/>
              </w:rPr>
            </w:pPr>
            <w:r>
              <w:rPr>
                <w:rFonts w:ascii="Calibri" w:hAnsi="Calibri" w:cs="Calibri"/>
                <w:b/>
                <w:bCs/>
                <w:color w:val="FFFFFF"/>
                <w:sz w:val="20"/>
                <w:szCs w:val="20"/>
              </w:rPr>
              <w:t>Department</w:t>
            </w:r>
          </w:p>
        </w:tc>
        <w:tc>
          <w:tcPr>
            <w:tcW w:w="1068"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tcPr>
          <w:p w14:paraId="78161655" w14:textId="51940A23" w:rsidR="00945AE4" w:rsidRPr="00945AE4" w:rsidRDefault="00945AE4" w:rsidP="00945AE4">
            <w:pPr>
              <w:ind w:left="113" w:right="113"/>
              <w:jc w:val="center"/>
              <w:rPr>
                <w:rFonts w:ascii="Calibri" w:hAnsi="Calibri" w:cs="Calibri"/>
                <w:b/>
                <w:bCs/>
                <w:color w:val="FFFFFF"/>
                <w:sz w:val="20"/>
                <w:szCs w:val="20"/>
              </w:rPr>
            </w:pPr>
            <w:r>
              <w:rPr>
                <w:rFonts w:ascii="Calibri" w:hAnsi="Calibri" w:cs="Calibri"/>
                <w:b/>
                <w:bCs/>
                <w:color w:val="FFFFFF"/>
                <w:sz w:val="20"/>
                <w:szCs w:val="20"/>
              </w:rPr>
              <w:t>Location</w:t>
            </w:r>
          </w:p>
        </w:tc>
        <w:tc>
          <w:tcPr>
            <w:tcW w:w="866"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0CB02B79" w14:textId="63B6CC8A" w:rsidR="00945AE4" w:rsidRPr="00945AE4" w:rsidRDefault="00945AE4" w:rsidP="00945AE4">
            <w:pPr>
              <w:ind w:left="113" w:right="113"/>
              <w:jc w:val="center"/>
              <w:rPr>
                <w:rFonts w:ascii="Calibri" w:hAnsi="Calibri" w:cs="Calibri"/>
                <w:b/>
                <w:bCs/>
                <w:color w:val="FFFFFF"/>
                <w:sz w:val="20"/>
                <w:szCs w:val="20"/>
              </w:rPr>
            </w:pPr>
            <w:r w:rsidRPr="0046011B">
              <w:rPr>
                <w:rFonts w:ascii="Calibri" w:hAnsi="Calibri" w:cs="Calibri"/>
                <w:b/>
                <w:bCs/>
                <w:color w:val="FFFFFF"/>
                <w:sz w:val="20"/>
                <w:szCs w:val="20"/>
              </w:rPr>
              <w:t>Devices</w:t>
            </w:r>
            <w:r>
              <w:rPr>
                <w:rFonts w:ascii="Calibri" w:hAnsi="Calibri" w:cs="Calibri"/>
                <w:b/>
                <w:bCs/>
                <w:color w:val="FFFFFF"/>
                <w:sz w:val="20"/>
                <w:szCs w:val="20"/>
              </w:rPr>
              <w:t xml:space="preserve"> End User</w:t>
            </w:r>
          </w:p>
        </w:tc>
        <w:tc>
          <w:tcPr>
            <w:tcW w:w="560"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5D8083F1" w14:textId="5885CE8F" w:rsidR="00945AE4" w:rsidRPr="0046011B" w:rsidRDefault="00945AE4" w:rsidP="00945AE4">
            <w:pPr>
              <w:ind w:left="113" w:right="113"/>
              <w:jc w:val="center"/>
              <w:rPr>
                <w:rFonts w:ascii="Calibri" w:hAnsi="Calibri" w:cs="Calibri"/>
                <w:b/>
                <w:bCs/>
                <w:color w:val="FFFFFF"/>
                <w:sz w:val="16"/>
                <w:szCs w:val="16"/>
              </w:rPr>
            </w:pPr>
            <w:r w:rsidRPr="0046011B">
              <w:rPr>
                <w:rFonts w:ascii="Calibri" w:hAnsi="Calibri" w:cs="Calibri"/>
                <w:b/>
                <w:bCs/>
                <w:color w:val="FFFFFF"/>
                <w:sz w:val="16"/>
                <w:szCs w:val="16"/>
              </w:rPr>
              <w:t>Routers</w:t>
            </w:r>
          </w:p>
        </w:tc>
        <w:tc>
          <w:tcPr>
            <w:tcW w:w="773"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26529D3A" w14:textId="77777777" w:rsidR="00945AE4" w:rsidRPr="0046011B" w:rsidRDefault="00945AE4" w:rsidP="00945AE4">
            <w:pPr>
              <w:ind w:left="113" w:right="113"/>
              <w:jc w:val="center"/>
              <w:rPr>
                <w:rFonts w:ascii="Calibri" w:hAnsi="Calibri" w:cs="Calibri"/>
                <w:b/>
                <w:bCs/>
                <w:color w:val="FFFFFF"/>
                <w:sz w:val="16"/>
                <w:szCs w:val="16"/>
              </w:rPr>
            </w:pPr>
            <w:r w:rsidRPr="0046011B">
              <w:rPr>
                <w:rFonts w:ascii="Calibri" w:hAnsi="Calibri" w:cs="Calibri"/>
                <w:b/>
                <w:bCs/>
                <w:color w:val="FFFFFF"/>
                <w:sz w:val="16"/>
                <w:szCs w:val="16"/>
              </w:rPr>
              <w:t>Switches</w:t>
            </w:r>
          </w:p>
        </w:tc>
        <w:tc>
          <w:tcPr>
            <w:tcW w:w="777"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4A668A65" w14:textId="77777777" w:rsidR="00945AE4" w:rsidRPr="0046011B" w:rsidRDefault="00945AE4" w:rsidP="00945AE4">
            <w:pPr>
              <w:ind w:left="113" w:right="113"/>
              <w:jc w:val="center"/>
              <w:rPr>
                <w:rFonts w:ascii="Calibri" w:hAnsi="Calibri" w:cs="Calibri"/>
                <w:b/>
                <w:bCs/>
                <w:color w:val="FFFFFF"/>
                <w:sz w:val="16"/>
                <w:szCs w:val="16"/>
              </w:rPr>
            </w:pPr>
            <w:r w:rsidRPr="0046011B">
              <w:rPr>
                <w:rFonts w:ascii="Calibri" w:hAnsi="Calibri" w:cs="Calibri"/>
                <w:b/>
                <w:bCs/>
                <w:color w:val="FFFFFF"/>
                <w:sz w:val="16"/>
                <w:szCs w:val="16"/>
              </w:rPr>
              <w:t>Firewalls</w:t>
            </w:r>
          </w:p>
        </w:tc>
        <w:tc>
          <w:tcPr>
            <w:tcW w:w="723"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5AD813BD" w14:textId="77777777" w:rsidR="00945AE4" w:rsidRPr="0046011B" w:rsidRDefault="00945AE4" w:rsidP="00945AE4">
            <w:pPr>
              <w:ind w:left="113" w:right="113"/>
              <w:jc w:val="center"/>
              <w:rPr>
                <w:rFonts w:ascii="Calibri" w:hAnsi="Calibri" w:cs="Calibri"/>
                <w:b/>
                <w:bCs/>
                <w:color w:val="FFFFFF"/>
                <w:sz w:val="16"/>
                <w:szCs w:val="16"/>
              </w:rPr>
            </w:pPr>
            <w:r w:rsidRPr="0046011B">
              <w:rPr>
                <w:rFonts w:ascii="Calibri" w:hAnsi="Calibri" w:cs="Calibri"/>
                <w:b/>
                <w:bCs/>
                <w:color w:val="FFFFFF"/>
                <w:sz w:val="16"/>
                <w:szCs w:val="16"/>
              </w:rPr>
              <w:t>Physical Servers</w:t>
            </w:r>
          </w:p>
        </w:tc>
        <w:tc>
          <w:tcPr>
            <w:tcW w:w="494"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2E7A2BB4" w14:textId="77777777" w:rsidR="00945AE4" w:rsidRPr="0046011B" w:rsidRDefault="00945AE4" w:rsidP="00945AE4">
            <w:pPr>
              <w:ind w:left="113" w:right="113"/>
              <w:jc w:val="center"/>
              <w:rPr>
                <w:rFonts w:ascii="Calibri" w:hAnsi="Calibri" w:cs="Calibri"/>
                <w:b/>
                <w:bCs/>
                <w:color w:val="FFFFFF"/>
                <w:sz w:val="16"/>
                <w:szCs w:val="16"/>
              </w:rPr>
            </w:pPr>
            <w:r w:rsidRPr="0046011B">
              <w:rPr>
                <w:rFonts w:ascii="Calibri" w:hAnsi="Calibri" w:cs="Calibri"/>
                <w:b/>
                <w:bCs/>
                <w:color w:val="FFFFFF"/>
                <w:sz w:val="16"/>
                <w:szCs w:val="16"/>
              </w:rPr>
              <w:t>VMs</w:t>
            </w:r>
          </w:p>
        </w:tc>
        <w:tc>
          <w:tcPr>
            <w:tcW w:w="629"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1FEB5D67" w14:textId="77777777" w:rsidR="00945AE4" w:rsidRPr="0046011B" w:rsidRDefault="00945AE4" w:rsidP="00945AE4">
            <w:pPr>
              <w:ind w:left="113" w:right="113"/>
              <w:jc w:val="center"/>
              <w:rPr>
                <w:rFonts w:ascii="Calibri" w:hAnsi="Calibri" w:cs="Calibri"/>
                <w:b/>
                <w:bCs/>
                <w:color w:val="FFFFFF"/>
                <w:sz w:val="16"/>
                <w:szCs w:val="16"/>
              </w:rPr>
            </w:pPr>
            <w:r w:rsidRPr="0046011B">
              <w:rPr>
                <w:rFonts w:ascii="Calibri" w:hAnsi="Calibri" w:cs="Calibri"/>
                <w:b/>
                <w:bCs/>
                <w:color w:val="FFFFFF"/>
                <w:sz w:val="16"/>
                <w:szCs w:val="16"/>
              </w:rPr>
              <w:t>Access Points</w:t>
            </w:r>
          </w:p>
        </w:tc>
        <w:tc>
          <w:tcPr>
            <w:tcW w:w="916"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236AF70F" w14:textId="77777777" w:rsidR="00945AE4" w:rsidRPr="0046011B" w:rsidRDefault="00945AE4" w:rsidP="00945AE4">
            <w:pPr>
              <w:ind w:left="113" w:right="113"/>
              <w:jc w:val="center"/>
              <w:rPr>
                <w:rFonts w:ascii="Calibri" w:hAnsi="Calibri" w:cs="Calibri"/>
                <w:b/>
                <w:bCs/>
                <w:color w:val="FFFFFF"/>
                <w:sz w:val="16"/>
                <w:szCs w:val="16"/>
              </w:rPr>
            </w:pPr>
            <w:r w:rsidRPr="0046011B">
              <w:rPr>
                <w:rFonts w:ascii="Calibri" w:hAnsi="Calibri" w:cs="Calibri"/>
                <w:b/>
                <w:bCs/>
                <w:color w:val="FFFFFF"/>
                <w:sz w:val="16"/>
                <w:szCs w:val="16"/>
              </w:rPr>
              <w:t>Wireless Controllers</w:t>
            </w:r>
          </w:p>
        </w:tc>
        <w:tc>
          <w:tcPr>
            <w:tcW w:w="881"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5994CE98" w14:textId="77777777" w:rsidR="00945AE4" w:rsidRPr="0046011B" w:rsidRDefault="00945AE4" w:rsidP="00945AE4">
            <w:pPr>
              <w:ind w:left="113" w:right="113"/>
              <w:jc w:val="center"/>
              <w:rPr>
                <w:rFonts w:ascii="Calibri" w:hAnsi="Calibri" w:cs="Calibri"/>
                <w:b/>
                <w:bCs/>
                <w:color w:val="FFFFFF"/>
                <w:sz w:val="16"/>
                <w:szCs w:val="16"/>
              </w:rPr>
            </w:pPr>
            <w:r w:rsidRPr="0046011B">
              <w:rPr>
                <w:rFonts w:ascii="Calibri" w:hAnsi="Calibri" w:cs="Calibri"/>
                <w:b/>
                <w:bCs/>
                <w:color w:val="FFFFFF"/>
                <w:sz w:val="16"/>
                <w:szCs w:val="16"/>
              </w:rPr>
              <w:t>Telephony Servers</w:t>
            </w:r>
          </w:p>
        </w:tc>
        <w:tc>
          <w:tcPr>
            <w:tcW w:w="698"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3CC67662" w14:textId="77777777" w:rsidR="00945AE4" w:rsidRPr="0046011B" w:rsidRDefault="00945AE4" w:rsidP="00945AE4">
            <w:pPr>
              <w:ind w:left="113" w:right="113"/>
              <w:jc w:val="center"/>
              <w:rPr>
                <w:rFonts w:ascii="Calibri" w:hAnsi="Calibri" w:cs="Calibri"/>
                <w:b/>
                <w:bCs/>
                <w:color w:val="FFFFFF"/>
                <w:sz w:val="16"/>
                <w:szCs w:val="16"/>
              </w:rPr>
            </w:pPr>
            <w:r w:rsidRPr="0046011B">
              <w:rPr>
                <w:rFonts w:ascii="Calibri" w:hAnsi="Calibri" w:cs="Calibri"/>
                <w:b/>
                <w:bCs/>
                <w:color w:val="FFFFFF"/>
                <w:sz w:val="16"/>
                <w:szCs w:val="16"/>
              </w:rPr>
              <w:t>Storage</w:t>
            </w:r>
          </w:p>
        </w:tc>
        <w:tc>
          <w:tcPr>
            <w:tcW w:w="462"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24B86D49" w14:textId="77777777" w:rsidR="00945AE4" w:rsidRPr="0046011B" w:rsidRDefault="00945AE4" w:rsidP="00945AE4">
            <w:pPr>
              <w:ind w:left="113" w:right="113"/>
              <w:jc w:val="center"/>
              <w:rPr>
                <w:rFonts w:ascii="Calibri" w:hAnsi="Calibri" w:cs="Calibri"/>
                <w:b/>
                <w:bCs/>
                <w:color w:val="FFFFFF"/>
                <w:sz w:val="16"/>
                <w:szCs w:val="16"/>
              </w:rPr>
            </w:pPr>
            <w:r w:rsidRPr="0046011B">
              <w:rPr>
                <w:rFonts w:ascii="Calibri" w:hAnsi="Calibri" w:cs="Calibri"/>
                <w:b/>
                <w:bCs/>
                <w:color w:val="FFFFFF"/>
                <w:sz w:val="16"/>
                <w:szCs w:val="16"/>
              </w:rPr>
              <w:t>UPS</w:t>
            </w:r>
          </w:p>
        </w:tc>
        <w:tc>
          <w:tcPr>
            <w:tcW w:w="650" w:type="dxa"/>
            <w:tcBorders>
              <w:top w:val="single" w:sz="8" w:space="0" w:color="auto"/>
              <w:left w:val="single" w:sz="8" w:space="0" w:color="auto"/>
              <w:bottom w:val="single" w:sz="8" w:space="0" w:color="auto"/>
              <w:right w:val="single" w:sz="8" w:space="0" w:color="auto"/>
            </w:tcBorders>
            <w:shd w:val="clear" w:color="156082" w:fill="156082"/>
            <w:textDirection w:val="btLr"/>
            <w:vAlign w:val="center"/>
            <w:hideMark/>
          </w:tcPr>
          <w:p w14:paraId="524561A2" w14:textId="77777777" w:rsidR="00945AE4" w:rsidRPr="0046011B" w:rsidRDefault="00945AE4" w:rsidP="00945AE4">
            <w:pPr>
              <w:ind w:left="113" w:right="113"/>
              <w:jc w:val="center"/>
              <w:rPr>
                <w:rFonts w:ascii="Calibri" w:hAnsi="Calibri" w:cs="Calibri"/>
                <w:b/>
                <w:bCs/>
                <w:color w:val="FFFFFF"/>
                <w:sz w:val="16"/>
                <w:szCs w:val="16"/>
              </w:rPr>
            </w:pPr>
            <w:r w:rsidRPr="0046011B">
              <w:rPr>
                <w:rFonts w:ascii="Calibri" w:hAnsi="Calibri" w:cs="Calibri"/>
                <w:b/>
                <w:bCs/>
                <w:color w:val="FFFFFF"/>
                <w:sz w:val="16"/>
                <w:szCs w:val="16"/>
              </w:rPr>
              <w:t>Telular</w:t>
            </w:r>
          </w:p>
        </w:tc>
      </w:tr>
      <w:tr w:rsidR="00945AE4" w:rsidRPr="0046011B" w14:paraId="580C56C5" w14:textId="77777777" w:rsidTr="00945AE4">
        <w:trPr>
          <w:trHeight w:val="3085"/>
        </w:trPr>
        <w:tc>
          <w:tcPr>
            <w:tcW w:w="1049"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2DFAF8A0" w14:textId="77777777" w:rsidR="00945AE4" w:rsidRPr="0046011B" w:rsidRDefault="00945AE4" w:rsidP="0046011B">
            <w:pPr>
              <w:rPr>
                <w:rFonts w:ascii="Calibri" w:hAnsi="Calibri" w:cs="Calibri"/>
                <w:color w:val="000000"/>
                <w:sz w:val="20"/>
                <w:szCs w:val="20"/>
              </w:rPr>
            </w:pPr>
            <w:r w:rsidRPr="0046011B">
              <w:rPr>
                <w:rFonts w:ascii="Calibri" w:hAnsi="Calibri" w:cs="Calibri"/>
                <w:color w:val="000000"/>
                <w:sz w:val="20"/>
                <w:szCs w:val="20"/>
              </w:rPr>
              <w:t>LRC HQ</w:t>
            </w:r>
          </w:p>
        </w:tc>
        <w:tc>
          <w:tcPr>
            <w:tcW w:w="1068" w:type="dxa"/>
            <w:tcBorders>
              <w:top w:val="single" w:sz="8" w:space="0" w:color="auto"/>
              <w:left w:val="single" w:sz="8" w:space="0" w:color="auto"/>
              <w:bottom w:val="single" w:sz="8" w:space="0" w:color="auto"/>
              <w:right w:val="single" w:sz="8" w:space="0" w:color="auto"/>
            </w:tcBorders>
            <w:shd w:val="clear" w:color="C0E6F5" w:fill="C0E6F5"/>
          </w:tcPr>
          <w:p w14:paraId="44890358" w14:textId="279FA7E5" w:rsidR="00945AE4" w:rsidRPr="0046011B" w:rsidRDefault="00945AE4" w:rsidP="0046011B">
            <w:pPr>
              <w:rPr>
                <w:rFonts w:ascii="Calibri" w:hAnsi="Calibri" w:cs="Calibri"/>
                <w:color w:val="000000"/>
                <w:sz w:val="20"/>
                <w:szCs w:val="20"/>
              </w:rPr>
            </w:pPr>
            <w:r w:rsidRPr="0046011B">
              <w:rPr>
                <w:rFonts w:ascii="Calibri" w:hAnsi="Calibri" w:cs="Calibri"/>
                <w:color w:val="000000"/>
                <w:sz w:val="20"/>
                <w:szCs w:val="20"/>
              </w:rPr>
              <w:t>Spears, Hadat,</w:t>
            </w:r>
          </w:p>
        </w:tc>
        <w:tc>
          <w:tcPr>
            <w:tcW w:w="866"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1020D7BD" w14:textId="718BCCFB" w:rsidR="00945AE4" w:rsidRPr="00945AE4" w:rsidRDefault="00945AE4" w:rsidP="0046011B">
            <w:pPr>
              <w:rPr>
                <w:rFonts w:ascii="Calibri" w:hAnsi="Calibri" w:cs="Calibri"/>
                <w:color w:val="000000"/>
                <w:sz w:val="20"/>
                <w:szCs w:val="20"/>
              </w:rPr>
            </w:pPr>
            <w:r>
              <w:rPr>
                <w:rFonts w:ascii="Calibri" w:hAnsi="Calibri" w:cs="Calibri"/>
                <w:color w:val="000000"/>
                <w:sz w:val="20"/>
                <w:szCs w:val="20"/>
              </w:rPr>
              <w:t>75</w:t>
            </w:r>
          </w:p>
        </w:tc>
        <w:tc>
          <w:tcPr>
            <w:tcW w:w="560"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57011752" w14:textId="77777777" w:rsidR="00945AE4" w:rsidRPr="0046011B" w:rsidRDefault="00945AE4" w:rsidP="0046011B">
            <w:pPr>
              <w:jc w:val="center"/>
              <w:rPr>
                <w:rFonts w:ascii="Calibri" w:hAnsi="Calibri" w:cs="Calibri"/>
                <w:color w:val="000000"/>
                <w:sz w:val="20"/>
                <w:szCs w:val="20"/>
              </w:rPr>
            </w:pPr>
            <w:r w:rsidRPr="0046011B">
              <w:rPr>
                <w:rFonts w:ascii="Calibri" w:hAnsi="Calibri" w:cs="Calibri"/>
                <w:color w:val="000000"/>
                <w:sz w:val="20"/>
                <w:szCs w:val="20"/>
              </w:rPr>
              <w:t>2</w:t>
            </w:r>
          </w:p>
        </w:tc>
        <w:tc>
          <w:tcPr>
            <w:tcW w:w="773"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5FE87E54" w14:textId="77777777" w:rsidR="00945AE4" w:rsidRPr="0046011B" w:rsidRDefault="00945AE4" w:rsidP="0046011B">
            <w:pPr>
              <w:jc w:val="center"/>
              <w:rPr>
                <w:rFonts w:ascii="Calibri" w:hAnsi="Calibri" w:cs="Calibri"/>
                <w:color w:val="000000"/>
                <w:sz w:val="20"/>
                <w:szCs w:val="20"/>
              </w:rPr>
            </w:pPr>
            <w:r w:rsidRPr="0046011B">
              <w:rPr>
                <w:rFonts w:ascii="Calibri" w:hAnsi="Calibri" w:cs="Calibri"/>
                <w:color w:val="000000"/>
                <w:sz w:val="20"/>
                <w:szCs w:val="20"/>
              </w:rPr>
              <w:t>23</w:t>
            </w:r>
          </w:p>
        </w:tc>
        <w:tc>
          <w:tcPr>
            <w:tcW w:w="777"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754338AD" w14:textId="77777777" w:rsidR="00945AE4" w:rsidRPr="0046011B" w:rsidRDefault="00945AE4" w:rsidP="0046011B">
            <w:pPr>
              <w:jc w:val="center"/>
              <w:rPr>
                <w:rFonts w:ascii="Calibri" w:hAnsi="Calibri" w:cs="Calibri"/>
                <w:color w:val="000000"/>
                <w:sz w:val="20"/>
                <w:szCs w:val="20"/>
              </w:rPr>
            </w:pPr>
            <w:r w:rsidRPr="0046011B">
              <w:rPr>
                <w:rFonts w:ascii="Calibri" w:hAnsi="Calibri" w:cs="Calibri"/>
                <w:color w:val="000000"/>
                <w:sz w:val="20"/>
                <w:szCs w:val="20"/>
              </w:rPr>
              <w:t>3</w:t>
            </w:r>
          </w:p>
        </w:tc>
        <w:tc>
          <w:tcPr>
            <w:tcW w:w="723"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2EE22EB9" w14:textId="77777777" w:rsidR="00945AE4" w:rsidRPr="0046011B" w:rsidRDefault="00945AE4" w:rsidP="0046011B">
            <w:pPr>
              <w:jc w:val="center"/>
              <w:rPr>
                <w:rFonts w:ascii="Calibri" w:hAnsi="Calibri" w:cs="Calibri"/>
                <w:color w:val="000000"/>
                <w:sz w:val="20"/>
                <w:szCs w:val="20"/>
              </w:rPr>
            </w:pPr>
            <w:r w:rsidRPr="0046011B">
              <w:rPr>
                <w:rFonts w:ascii="Calibri" w:hAnsi="Calibri" w:cs="Calibri"/>
                <w:color w:val="000000"/>
                <w:sz w:val="20"/>
                <w:szCs w:val="20"/>
              </w:rPr>
              <w:t>2</w:t>
            </w:r>
          </w:p>
        </w:tc>
        <w:tc>
          <w:tcPr>
            <w:tcW w:w="494"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36273C02" w14:textId="77777777" w:rsidR="00945AE4" w:rsidRPr="0046011B" w:rsidRDefault="00945AE4" w:rsidP="0046011B">
            <w:pPr>
              <w:jc w:val="center"/>
              <w:rPr>
                <w:rFonts w:ascii="Calibri" w:hAnsi="Calibri" w:cs="Calibri"/>
                <w:color w:val="000000"/>
                <w:sz w:val="20"/>
                <w:szCs w:val="20"/>
              </w:rPr>
            </w:pPr>
            <w:r w:rsidRPr="0046011B">
              <w:rPr>
                <w:rFonts w:ascii="Calibri" w:hAnsi="Calibri" w:cs="Calibri"/>
                <w:color w:val="000000"/>
                <w:sz w:val="20"/>
                <w:szCs w:val="20"/>
              </w:rPr>
              <w:t>31</w:t>
            </w:r>
          </w:p>
        </w:tc>
        <w:tc>
          <w:tcPr>
            <w:tcW w:w="629"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1A35F989" w14:textId="77777777" w:rsidR="00945AE4" w:rsidRPr="0046011B" w:rsidRDefault="00945AE4" w:rsidP="0046011B">
            <w:pPr>
              <w:jc w:val="center"/>
              <w:rPr>
                <w:rFonts w:ascii="Calibri" w:hAnsi="Calibri" w:cs="Calibri"/>
                <w:color w:val="000000"/>
                <w:sz w:val="20"/>
                <w:szCs w:val="20"/>
              </w:rPr>
            </w:pPr>
            <w:r w:rsidRPr="0046011B">
              <w:rPr>
                <w:rFonts w:ascii="Calibri" w:hAnsi="Calibri" w:cs="Calibri"/>
                <w:color w:val="000000"/>
                <w:sz w:val="20"/>
                <w:szCs w:val="20"/>
              </w:rPr>
              <w:t>25</w:t>
            </w:r>
          </w:p>
        </w:tc>
        <w:tc>
          <w:tcPr>
            <w:tcW w:w="916"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23B2CA53" w14:textId="77777777" w:rsidR="00945AE4" w:rsidRPr="0046011B" w:rsidRDefault="00945AE4" w:rsidP="0046011B">
            <w:pPr>
              <w:jc w:val="center"/>
              <w:rPr>
                <w:rFonts w:ascii="Calibri" w:hAnsi="Calibri" w:cs="Calibri"/>
                <w:color w:val="000000"/>
                <w:sz w:val="20"/>
                <w:szCs w:val="20"/>
              </w:rPr>
            </w:pPr>
            <w:r w:rsidRPr="0046011B">
              <w:rPr>
                <w:rFonts w:ascii="Calibri" w:hAnsi="Calibri" w:cs="Calibri"/>
                <w:color w:val="000000"/>
                <w:sz w:val="20"/>
                <w:szCs w:val="20"/>
              </w:rPr>
              <w:t>1</w:t>
            </w:r>
          </w:p>
        </w:tc>
        <w:tc>
          <w:tcPr>
            <w:tcW w:w="881"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1D08858E" w14:textId="77777777" w:rsidR="00945AE4" w:rsidRPr="0046011B" w:rsidRDefault="00945AE4" w:rsidP="0046011B">
            <w:pPr>
              <w:jc w:val="center"/>
              <w:rPr>
                <w:rFonts w:ascii="Calibri" w:hAnsi="Calibri" w:cs="Calibri"/>
                <w:color w:val="000000"/>
                <w:sz w:val="20"/>
                <w:szCs w:val="20"/>
              </w:rPr>
            </w:pPr>
            <w:r w:rsidRPr="0046011B">
              <w:rPr>
                <w:rFonts w:ascii="Calibri" w:hAnsi="Calibri" w:cs="Calibri"/>
                <w:color w:val="000000"/>
                <w:sz w:val="20"/>
                <w:szCs w:val="20"/>
              </w:rPr>
              <w:t>4</w:t>
            </w:r>
          </w:p>
        </w:tc>
        <w:tc>
          <w:tcPr>
            <w:tcW w:w="698"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6AF8634A" w14:textId="77777777" w:rsidR="00945AE4" w:rsidRPr="0046011B" w:rsidRDefault="00945AE4" w:rsidP="0046011B">
            <w:pPr>
              <w:jc w:val="center"/>
              <w:rPr>
                <w:rFonts w:ascii="Calibri" w:hAnsi="Calibri" w:cs="Calibri"/>
                <w:color w:val="000000"/>
                <w:sz w:val="20"/>
                <w:szCs w:val="20"/>
              </w:rPr>
            </w:pPr>
            <w:r w:rsidRPr="0046011B">
              <w:rPr>
                <w:rFonts w:ascii="Calibri" w:hAnsi="Calibri" w:cs="Calibri"/>
                <w:color w:val="000000"/>
                <w:sz w:val="20"/>
                <w:szCs w:val="20"/>
              </w:rPr>
              <w:t>1</w:t>
            </w:r>
          </w:p>
        </w:tc>
        <w:tc>
          <w:tcPr>
            <w:tcW w:w="462"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5605EB64" w14:textId="77777777" w:rsidR="00945AE4" w:rsidRPr="0046011B" w:rsidRDefault="00945AE4" w:rsidP="0046011B">
            <w:pPr>
              <w:jc w:val="center"/>
              <w:rPr>
                <w:rFonts w:ascii="Calibri" w:hAnsi="Calibri" w:cs="Calibri"/>
                <w:color w:val="000000"/>
                <w:sz w:val="20"/>
                <w:szCs w:val="20"/>
              </w:rPr>
            </w:pPr>
            <w:r w:rsidRPr="0046011B">
              <w:rPr>
                <w:rFonts w:ascii="Calibri" w:hAnsi="Calibri" w:cs="Calibri"/>
                <w:color w:val="000000"/>
                <w:sz w:val="20"/>
                <w:szCs w:val="20"/>
              </w:rPr>
              <w:t>1</w:t>
            </w:r>
          </w:p>
        </w:tc>
        <w:tc>
          <w:tcPr>
            <w:tcW w:w="650"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3C244F8B" w14:textId="77777777" w:rsidR="00945AE4" w:rsidRPr="0046011B" w:rsidRDefault="00945AE4" w:rsidP="0046011B">
            <w:pPr>
              <w:jc w:val="center"/>
              <w:rPr>
                <w:rFonts w:ascii="Calibri" w:hAnsi="Calibri" w:cs="Calibri"/>
                <w:color w:val="000000"/>
                <w:sz w:val="20"/>
                <w:szCs w:val="20"/>
              </w:rPr>
            </w:pPr>
            <w:r w:rsidRPr="0046011B">
              <w:rPr>
                <w:rFonts w:ascii="Calibri" w:hAnsi="Calibri" w:cs="Calibri"/>
                <w:color w:val="000000"/>
                <w:sz w:val="20"/>
                <w:szCs w:val="20"/>
              </w:rPr>
              <w:t>1</w:t>
            </w:r>
          </w:p>
        </w:tc>
      </w:tr>
      <w:tr w:rsidR="00945AE4" w:rsidRPr="0046011B" w14:paraId="74B65228" w14:textId="77777777" w:rsidTr="00945AE4">
        <w:trPr>
          <w:trHeight w:val="1461"/>
        </w:trPr>
        <w:tc>
          <w:tcPr>
            <w:tcW w:w="104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69A426" w14:textId="77777777" w:rsidR="00945AE4" w:rsidRPr="0046011B" w:rsidRDefault="00945AE4" w:rsidP="00945AE4">
            <w:pPr>
              <w:rPr>
                <w:rFonts w:ascii="Calibri" w:hAnsi="Calibri" w:cs="Calibri"/>
                <w:color w:val="000000"/>
                <w:sz w:val="20"/>
                <w:szCs w:val="20"/>
              </w:rPr>
            </w:pPr>
            <w:r w:rsidRPr="0046011B">
              <w:rPr>
                <w:rFonts w:ascii="Calibri" w:hAnsi="Calibri" w:cs="Calibri"/>
                <w:color w:val="000000"/>
                <w:sz w:val="20"/>
                <w:szCs w:val="20"/>
              </w:rPr>
              <w:t>140 Dispatch Centers</w:t>
            </w:r>
          </w:p>
        </w:tc>
        <w:tc>
          <w:tcPr>
            <w:tcW w:w="1068" w:type="dxa"/>
            <w:tcBorders>
              <w:top w:val="single" w:sz="8" w:space="0" w:color="auto"/>
              <w:left w:val="single" w:sz="8" w:space="0" w:color="auto"/>
              <w:bottom w:val="single" w:sz="8" w:space="0" w:color="auto"/>
              <w:right w:val="single" w:sz="8" w:space="0" w:color="auto"/>
            </w:tcBorders>
            <w:vAlign w:val="center"/>
          </w:tcPr>
          <w:p w14:paraId="06179E7D" w14:textId="547F9583" w:rsidR="00945AE4" w:rsidRPr="0046011B" w:rsidRDefault="00945AE4" w:rsidP="00945AE4">
            <w:pPr>
              <w:rPr>
                <w:rFonts w:ascii="Calibri" w:hAnsi="Calibri" w:cs="Calibri"/>
                <w:color w:val="000000"/>
                <w:sz w:val="20"/>
                <w:szCs w:val="20"/>
                <w:lang w:val="da-DK"/>
              </w:rPr>
            </w:pPr>
            <w:r w:rsidRPr="0046011B">
              <w:rPr>
                <w:rFonts w:ascii="Calibri" w:hAnsi="Calibri" w:cs="Calibri"/>
                <w:color w:val="000000"/>
                <w:sz w:val="20"/>
                <w:szCs w:val="20"/>
                <w:lang w:val="da-DK"/>
              </w:rPr>
              <w:t>HazmiehTebnineGamma</w:t>
            </w:r>
            <w:r w:rsidRPr="0046011B">
              <w:rPr>
                <w:rFonts w:ascii="Calibri" w:hAnsi="Calibri" w:cs="Calibri"/>
                <w:color w:val="000000"/>
                <w:sz w:val="20"/>
                <w:szCs w:val="20"/>
                <w:lang w:val="da-DK"/>
              </w:rPr>
              <w:br/>
              <w:t>Zahle</w:t>
            </w:r>
            <w:r w:rsidRPr="0046011B">
              <w:rPr>
                <w:rFonts w:ascii="Calibri" w:hAnsi="Calibri" w:cs="Calibri"/>
                <w:color w:val="000000"/>
                <w:sz w:val="20"/>
                <w:szCs w:val="20"/>
                <w:lang w:val="da-DK"/>
              </w:rPr>
              <w:br/>
              <w:t>DR</w:t>
            </w:r>
          </w:p>
        </w:tc>
        <w:tc>
          <w:tcPr>
            <w:tcW w:w="866" w:type="dxa"/>
            <w:tcBorders>
              <w:top w:val="single" w:sz="8" w:space="0" w:color="auto"/>
              <w:left w:val="single" w:sz="8" w:space="0" w:color="auto"/>
              <w:bottom w:val="single" w:sz="8" w:space="0" w:color="auto"/>
              <w:right w:val="single" w:sz="8" w:space="0" w:color="auto"/>
            </w:tcBorders>
            <w:shd w:val="clear" w:color="auto" w:fill="auto"/>
            <w:vAlign w:val="center"/>
          </w:tcPr>
          <w:p w14:paraId="2BCB24D1" w14:textId="0CA82545" w:rsidR="00945AE4" w:rsidRPr="0046011B" w:rsidRDefault="00945AE4" w:rsidP="00945AE4">
            <w:pPr>
              <w:rPr>
                <w:rFonts w:ascii="Calibri" w:hAnsi="Calibri" w:cs="Calibri"/>
                <w:color w:val="000000"/>
                <w:sz w:val="20"/>
                <w:szCs w:val="20"/>
                <w:lang w:val="da-DK"/>
              </w:rPr>
            </w:pPr>
            <w:r>
              <w:rPr>
                <w:rFonts w:ascii="Calibri" w:hAnsi="Calibri" w:cs="Calibri"/>
                <w:color w:val="000000"/>
                <w:sz w:val="20"/>
                <w:szCs w:val="20"/>
                <w:lang w:val="da-DK"/>
              </w:rPr>
              <w:t>30</w:t>
            </w:r>
          </w:p>
        </w:tc>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5025B1"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3</w:t>
            </w:r>
          </w:p>
        </w:tc>
        <w:tc>
          <w:tcPr>
            <w:tcW w:w="7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C2C0E2"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4</w:t>
            </w:r>
          </w:p>
        </w:tc>
        <w:tc>
          <w:tcPr>
            <w:tcW w:w="7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6E5FD1"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3</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5E93DE"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4</w:t>
            </w:r>
          </w:p>
        </w:tc>
        <w:tc>
          <w:tcPr>
            <w:tcW w:w="4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5B754D"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4</w:t>
            </w:r>
          </w:p>
        </w:tc>
        <w:tc>
          <w:tcPr>
            <w:tcW w:w="6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AFFA05"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7</w:t>
            </w:r>
          </w:p>
        </w:tc>
        <w:tc>
          <w:tcPr>
            <w:tcW w:w="9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174CCA"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w:t>
            </w:r>
          </w:p>
        </w:tc>
        <w:tc>
          <w:tcPr>
            <w:tcW w:w="8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E992FC"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11</w:t>
            </w:r>
          </w:p>
        </w:tc>
        <w:tc>
          <w:tcPr>
            <w:tcW w:w="6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B8B0D5"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w:t>
            </w:r>
          </w:p>
        </w:tc>
        <w:tc>
          <w:tcPr>
            <w:tcW w:w="4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648257"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1</w:t>
            </w:r>
          </w:p>
        </w:tc>
        <w:tc>
          <w:tcPr>
            <w:tcW w:w="6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E92ED5"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1</w:t>
            </w:r>
          </w:p>
        </w:tc>
      </w:tr>
      <w:tr w:rsidR="00945AE4" w:rsidRPr="0046011B" w14:paraId="72234DD0" w14:textId="77777777" w:rsidTr="00945AE4">
        <w:trPr>
          <w:trHeight w:val="1171"/>
        </w:trPr>
        <w:tc>
          <w:tcPr>
            <w:tcW w:w="1049"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117AABE4" w14:textId="77777777" w:rsidR="00945AE4" w:rsidRPr="0046011B" w:rsidRDefault="00945AE4" w:rsidP="00945AE4">
            <w:pPr>
              <w:rPr>
                <w:rFonts w:ascii="Calibri" w:hAnsi="Calibri" w:cs="Calibri"/>
                <w:color w:val="000000"/>
                <w:sz w:val="20"/>
                <w:szCs w:val="20"/>
              </w:rPr>
            </w:pPr>
            <w:r w:rsidRPr="0046011B">
              <w:rPr>
                <w:rFonts w:ascii="Calibri" w:hAnsi="Calibri" w:cs="Calibri"/>
                <w:color w:val="000000"/>
                <w:sz w:val="20"/>
                <w:szCs w:val="20"/>
              </w:rPr>
              <w:t>Hotline 170 and Backup Center</w:t>
            </w:r>
          </w:p>
        </w:tc>
        <w:tc>
          <w:tcPr>
            <w:tcW w:w="1068" w:type="dxa"/>
            <w:tcBorders>
              <w:top w:val="single" w:sz="8" w:space="0" w:color="auto"/>
              <w:left w:val="single" w:sz="8" w:space="0" w:color="auto"/>
              <w:bottom w:val="single" w:sz="8" w:space="0" w:color="auto"/>
              <w:right w:val="single" w:sz="8" w:space="0" w:color="auto"/>
            </w:tcBorders>
            <w:shd w:val="clear" w:color="C0E6F5" w:fill="C0E6F5"/>
          </w:tcPr>
          <w:p w14:paraId="39F0DC35" w14:textId="58F130CB" w:rsidR="00945AE4" w:rsidRDefault="00945AE4" w:rsidP="00945AE4">
            <w:pPr>
              <w:rPr>
                <w:rFonts w:ascii="Calibri" w:hAnsi="Calibri" w:cs="Calibri"/>
                <w:color w:val="000000"/>
                <w:sz w:val="20"/>
                <w:szCs w:val="20"/>
              </w:rPr>
            </w:pPr>
            <w:r>
              <w:rPr>
                <w:rFonts w:ascii="Calibri" w:hAnsi="Calibri" w:cs="Calibri"/>
                <w:color w:val="000000"/>
                <w:sz w:val="20"/>
                <w:szCs w:val="20"/>
              </w:rPr>
              <w:t xml:space="preserve">Spears </w:t>
            </w:r>
            <w:r>
              <w:rPr>
                <w:rFonts w:ascii="Calibri" w:hAnsi="Calibri" w:cs="Calibri"/>
                <w:color w:val="000000"/>
                <w:sz w:val="20"/>
                <w:szCs w:val="20"/>
              </w:rPr>
              <w:br/>
              <w:t>DR Site Antelias</w:t>
            </w:r>
          </w:p>
        </w:tc>
        <w:tc>
          <w:tcPr>
            <w:tcW w:w="866"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2A20F7E9" w14:textId="0C2CF6DA" w:rsidR="00945AE4" w:rsidRPr="00945AE4" w:rsidRDefault="00945AE4" w:rsidP="00945AE4">
            <w:pPr>
              <w:rPr>
                <w:rFonts w:ascii="Calibri" w:hAnsi="Calibri" w:cs="Calibri"/>
                <w:color w:val="000000"/>
                <w:sz w:val="20"/>
                <w:szCs w:val="20"/>
              </w:rPr>
            </w:pPr>
            <w:r>
              <w:rPr>
                <w:rFonts w:ascii="Calibri" w:hAnsi="Calibri" w:cs="Calibri"/>
                <w:color w:val="000000"/>
                <w:sz w:val="20"/>
                <w:szCs w:val="20"/>
              </w:rPr>
              <w:t>15</w:t>
            </w:r>
          </w:p>
        </w:tc>
        <w:tc>
          <w:tcPr>
            <w:tcW w:w="560"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4DD37452" w14:textId="1A563B6C" w:rsidR="00945AE4" w:rsidRPr="00945AE4" w:rsidRDefault="00945AE4" w:rsidP="00945AE4">
            <w:pPr>
              <w:jc w:val="center"/>
              <w:rPr>
                <w:rFonts w:ascii="Calibri" w:hAnsi="Calibri" w:cs="Calibri"/>
                <w:color w:val="000000"/>
                <w:sz w:val="20"/>
                <w:szCs w:val="20"/>
              </w:rPr>
            </w:pPr>
          </w:p>
        </w:tc>
        <w:tc>
          <w:tcPr>
            <w:tcW w:w="773"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44223CFD" w14:textId="368EAB81"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4</w:t>
            </w:r>
          </w:p>
        </w:tc>
        <w:tc>
          <w:tcPr>
            <w:tcW w:w="777"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708A8F86" w14:textId="29B109CF"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0</w:t>
            </w:r>
          </w:p>
        </w:tc>
        <w:tc>
          <w:tcPr>
            <w:tcW w:w="723"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0EB0EAD0" w14:textId="410CFC1D"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4</w:t>
            </w:r>
          </w:p>
        </w:tc>
        <w:tc>
          <w:tcPr>
            <w:tcW w:w="494"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342CED07" w14:textId="596AB475"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4</w:t>
            </w:r>
          </w:p>
        </w:tc>
        <w:tc>
          <w:tcPr>
            <w:tcW w:w="629"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3A8DF99D" w14:textId="1D9728C2"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2</w:t>
            </w:r>
          </w:p>
        </w:tc>
        <w:tc>
          <w:tcPr>
            <w:tcW w:w="916"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73ADCE3B" w14:textId="5F6C096A"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0</w:t>
            </w:r>
          </w:p>
        </w:tc>
        <w:tc>
          <w:tcPr>
            <w:tcW w:w="881"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6DCD913C" w14:textId="1D2485E2"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2</w:t>
            </w:r>
          </w:p>
        </w:tc>
        <w:tc>
          <w:tcPr>
            <w:tcW w:w="698"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0249A8E8"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w:t>
            </w:r>
          </w:p>
        </w:tc>
        <w:tc>
          <w:tcPr>
            <w:tcW w:w="462"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5EE1745E"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w:t>
            </w:r>
          </w:p>
        </w:tc>
        <w:tc>
          <w:tcPr>
            <w:tcW w:w="650"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0A3A1AD0"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w:t>
            </w:r>
          </w:p>
        </w:tc>
      </w:tr>
      <w:tr w:rsidR="00945AE4" w:rsidRPr="0046011B" w14:paraId="5614458F" w14:textId="77777777" w:rsidTr="00945AE4">
        <w:trPr>
          <w:trHeight w:val="1752"/>
        </w:trPr>
        <w:tc>
          <w:tcPr>
            <w:tcW w:w="104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6D23DD" w14:textId="77777777" w:rsidR="00945AE4" w:rsidRPr="0046011B" w:rsidRDefault="00945AE4" w:rsidP="00945AE4">
            <w:pPr>
              <w:rPr>
                <w:rFonts w:ascii="Calibri" w:hAnsi="Calibri" w:cs="Calibri"/>
                <w:color w:val="000000"/>
                <w:sz w:val="20"/>
                <w:szCs w:val="20"/>
              </w:rPr>
            </w:pPr>
            <w:r w:rsidRPr="0046011B">
              <w:rPr>
                <w:rFonts w:ascii="Calibri" w:hAnsi="Calibri" w:cs="Calibri"/>
                <w:color w:val="000000"/>
                <w:sz w:val="20"/>
                <w:szCs w:val="20"/>
              </w:rPr>
              <w:lastRenderedPageBreak/>
              <w:t>Blood Bank Centers (13 BTS)</w:t>
            </w:r>
          </w:p>
        </w:tc>
        <w:tc>
          <w:tcPr>
            <w:tcW w:w="1068" w:type="dxa"/>
            <w:tcBorders>
              <w:top w:val="single" w:sz="8" w:space="0" w:color="auto"/>
              <w:left w:val="single" w:sz="8" w:space="0" w:color="auto"/>
              <w:bottom w:val="single" w:sz="8" w:space="0" w:color="auto"/>
              <w:right w:val="single" w:sz="8" w:space="0" w:color="auto"/>
            </w:tcBorders>
          </w:tcPr>
          <w:p w14:paraId="7A99B8C9" w14:textId="7F4CF79E" w:rsidR="00945AE4" w:rsidRPr="0046011B" w:rsidRDefault="00945AE4" w:rsidP="00945AE4">
            <w:pPr>
              <w:rPr>
                <w:rFonts w:ascii="Calibri" w:hAnsi="Calibri" w:cs="Calibri"/>
                <w:color w:val="000000"/>
                <w:sz w:val="20"/>
                <w:szCs w:val="20"/>
              </w:rPr>
            </w:pPr>
            <w:r w:rsidRPr="0046011B">
              <w:rPr>
                <w:rFonts w:ascii="Calibri" w:hAnsi="Calibri" w:cs="Calibri"/>
                <w:color w:val="000000"/>
                <w:sz w:val="20"/>
                <w:szCs w:val="20"/>
              </w:rPr>
              <w:t>Antelias, Saida, Halba, Jbeil, NabatiehJounieh, Tyr, Rachaya, Zahle, Chouf, Tripoly</w:t>
            </w:r>
          </w:p>
        </w:tc>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05C681" w14:textId="03B72AAF" w:rsidR="00945AE4" w:rsidRPr="00945AE4" w:rsidRDefault="00945AE4" w:rsidP="00945AE4">
            <w:pPr>
              <w:rPr>
                <w:rFonts w:ascii="Calibri" w:hAnsi="Calibri" w:cs="Calibri"/>
                <w:color w:val="000000"/>
                <w:sz w:val="20"/>
                <w:szCs w:val="20"/>
              </w:rPr>
            </w:pPr>
            <w:r>
              <w:rPr>
                <w:rFonts w:ascii="Calibri" w:hAnsi="Calibri" w:cs="Calibri"/>
                <w:color w:val="000000"/>
                <w:sz w:val="20"/>
                <w:szCs w:val="20"/>
              </w:rPr>
              <w:t>52</w:t>
            </w:r>
          </w:p>
        </w:tc>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9D07F2" w14:textId="1C951589"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13</w:t>
            </w:r>
          </w:p>
        </w:tc>
        <w:tc>
          <w:tcPr>
            <w:tcW w:w="7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46BAE2" w14:textId="5175B65B"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13</w:t>
            </w:r>
          </w:p>
        </w:tc>
        <w:tc>
          <w:tcPr>
            <w:tcW w:w="7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7C667C" w14:textId="07C40975"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74A2F2" w14:textId="7B607BC9"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4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9C2083" w14:textId="3D5C844D"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3</w:t>
            </w:r>
          </w:p>
        </w:tc>
        <w:tc>
          <w:tcPr>
            <w:tcW w:w="6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983282" w14:textId="20F6D184"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13</w:t>
            </w:r>
          </w:p>
        </w:tc>
        <w:tc>
          <w:tcPr>
            <w:tcW w:w="9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D674CE" w14:textId="551A2967"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8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4BB290" w14:textId="61725B18"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6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0E3333" w14:textId="375ECCD8"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4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CF1328" w14:textId="0C924077"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13</w:t>
            </w:r>
          </w:p>
        </w:tc>
        <w:tc>
          <w:tcPr>
            <w:tcW w:w="6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1EA105" w14:textId="1627720F"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r>
      <w:tr w:rsidR="00945AE4" w:rsidRPr="0046011B" w14:paraId="092D7B99" w14:textId="77777777" w:rsidTr="00945AE4">
        <w:trPr>
          <w:trHeight w:val="1461"/>
        </w:trPr>
        <w:tc>
          <w:tcPr>
            <w:tcW w:w="1049"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62BD6BD1" w14:textId="77777777" w:rsidR="00945AE4" w:rsidRPr="0046011B" w:rsidRDefault="00945AE4" w:rsidP="00945AE4">
            <w:pPr>
              <w:rPr>
                <w:rFonts w:ascii="Calibri" w:hAnsi="Calibri" w:cs="Calibri"/>
                <w:color w:val="000000"/>
                <w:sz w:val="20"/>
                <w:szCs w:val="20"/>
              </w:rPr>
            </w:pPr>
            <w:r w:rsidRPr="0046011B">
              <w:rPr>
                <w:rFonts w:ascii="Calibri" w:hAnsi="Calibri" w:cs="Calibri"/>
                <w:color w:val="000000"/>
                <w:sz w:val="20"/>
                <w:szCs w:val="20"/>
              </w:rPr>
              <w:t>Medico-Social Services (MSS)</w:t>
            </w:r>
          </w:p>
        </w:tc>
        <w:tc>
          <w:tcPr>
            <w:tcW w:w="1068" w:type="dxa"/>
            <w:tcBorders>
              <w:top w:val="single" w:sz="8" w:space="0" w:color="auto"/>
              <w:left w:val="single" w:sz="8" w:space="0" w:color="auto"/>
              <w:bottom w:val="single" w:sz="8" w:space="0" w:color="auto"/>
              <w:right w:val="single" w:sz="8" w:space="0" w:color="auto"/>
            </w:tcBorders>
            <w:shd w:val="clear" w:color="C0E6F5" w:fill="C0E6F5"/>
          </w:tcPr>
          <w:p w14:paraId="687890BA" w14:textId="4B6F4F6B" w:rsidR="00945AE4" w:rsidRPr="00945AE4" w:rsidRDefault="00945AE4" w:rsidP="00945AE4">
            <w:pPr>
              <w:rPr>
                <w:rFonts w:ascii="Calibri" w:hAnsi="Calibri" w:cs="Calibri"/>
                <w:color w:val="000000"/>
                <w:sz w:val="20"/>
                <w:szCs w:val="20"/>
              </w:rPr>
            </w:pPr>
            <w:r>
              <w:rPr>
                <w:rFonts w:ascii="Calibri" w:hAnsi="Calibri" w:cs="Calibri"/>
                <w:color w:val="000000"/>
                <w:sz w:val="20"/>
                <w:szCs w:val="20"/>
              </w:rPr>
              <w:t>Aley</w:t>
            </w:r>
            <w:r>
              <w:rPr>
                <w:rFonts w:ascii="Calibri" w:hAnsi="Calibri" w:cs="Calibri"/>
                <w:color w:val="000000"/>
                <w:sz w:val="20"/>
                <w:szCs w:val="20"/>
              </w:rPr>
              <w:br/>
            </w:r>
            <w:proofErr w:type="spellStart"/>
            <w:r>
              <w:rPr>
                <w:rFonts w:ascii="Calibri" w:hAnsi="Calibri" w:cs="Calibri"/>
                <w:color w:val="000000"/>
                <w:sz w:val="20"/>
                <w:szCs w:val="20"/>
              </w:rPr>
              <w:t>Batroun</w:t>
            </w:r>
            <w:proofErr w:type="spellEnd"/>
            <w:r>
              <w:rPr>
                <w:rFonts w:ascii="Calibri" w:hAnsi="Calibri" w:cs="Calibri"/>
                <w:color w:val="000000"/>
                <w:sz w:val="20"/>
                <w:szCs w:val="20"/>
              </w:rPr>
              <w:br/>
              <w:t>Tripoli</w:t>
            </w:r>
            <w:r>
              <w:rPr>
                <w:rFonts w:ascii="Calibri" w:hAnsi="Calibri" w:cs="Calibri"/>
                <w:color w:val="000000"/>
                <w:sz w:val="20"/>
                <w:szCs w:val="20"/>
              </w:rPr>
              <w:br/>
              <w:t xml:space="preserve">Jal </w:t>
            </w:r>
            <w:proofErr w:type="spellStart"/>
            <w:r>
              <w:rPr>
                <w:rFonts w:ascii="Calibri" w:hAnsi="Calibri" w:cs="Calibri"/>
                <w:color w:val="000000"/>
                <w:sz w:val="20"/>
                <w:szCs w:val="20"/>
              </w:rPr>
              <w:t>Eldeib</w:t>
            </w:r>
            <w:proofErr w:type="spellEnd"/>
            <w:r>
              <w:rPr>
                <w:rFonts w:ascii="Calibri" w:hAnsi="Calibri" w:cs="Calibri"/>
                <w:color w:val="000000"/>
                <w:sz w:val="20"/>
                <w:szCs w:val="20"/>
              </w:rPr>
              <w:br/>
            </w:r>
            <w:proofErr w:type="spellStart"/>
            <w:r>
              <w:rPr>
                <w:rFonts w:ascii="Calibri" w:hAnsi="Calibri" w:cs="Calibri"/>
                <w:color w:val="000000"/>
                <w:sz w:val="20"/>
                <w:szCs w:val="20"/>
              </w:rPr>
              <w:t>Msaytbeh</w:t>
            </w:r>
            <w:proofErr w:type="spellEnd"/>
            <w:r>
              <w:rPr>
                <w:rFonts w:ascii="Calibri" w:hAnsi="Calibri" w:cs="Calibri"/>
                <w:color w:val="000000"/>
                <w:sz w:val="20"/>
                <w:szCs w:val="20"/>
              </w:rPr>
              <w:br/>
            </w:r>
            <w:proofErr w:type="spellStart"/>
            <w:r>
              <w:rPr>
                <w:rFonts w:ascii="Calibri" w:hAnsi="Calibri" w:cs="Calibri"/>
                <w:color w:val="000000"/>
                <w:sz w:val="20"/>
                <w:szCs w:val="20"/>
              </w:rPr>
              <w:t>Jbeil</w:t>
            </w:r>
            <w:proofErr w:type="spellEnd"/>
            <w:r>
              <w:rPr>
                <w:rFonts w:ascii="Calibri" w:hAnsi="Calibri" w:cs="Calibri"/>
                <w:color w:val="000000"/>
                <w:sz w:val="20"/>
                <w:szCs w:val="20"/>
              </w:rPr>
              <w:br/>
            </w:r>
          </w:p>
        </w:tc>
        <w:tc>
          <w:tcPr>
            <w:tcW w:w="866"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17DE2E35" w14:textId="382705DC" w:rsidR="00945AE4" w:rsidRPr="00945AE4" w:rsidRDefault="00945AE4" w:rsidP="00945AE4">
            <w:pPr>
              <w:rPr>
                <w:rFonts w:ascii="Calibri" w:hAnsi="Calibri" w:cs="Calibri"/>
                <w:color w:val="000000"/>
                <w:sz w:val="20"/>
                <w:szCs w:val="20"/>
              </w:rPr>
            </w:pPr>
            <w:r>
              <w:rPr>
                <w:rFonts w:ascii="Calibri" w:hAnsi="Calibri" w:cs="Calibri"/>
                <w:color w:val="000000"/>
                <w:sz w:val="20"/>
                <w:szCs w:val="20"/>
              </w:rPr>
              <w:t>30</w:t>
            </w:r>
          </w:p>
        </w:tc>
        <w:tc>
          <w:tcPr>
            <w:tcW w:w="560"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419F75B4" w14:textId="38E66AB2"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6</w:t>
            </w:r>
          </w:p>
        </w:tc>
        <w:tc>
          <w:tcPr>
            <w:tcW w:w="773"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1D735B0D" w14:textId="3218AD3E"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6</w:t>
            </w:r>
          </w:p>
        </w:tc>
        <w:tc>
          <w:tcPr>
            <w:tcW w:w="777"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6D78C156" w14:textId="31E6FA95"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723"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4C9DE23F" w14:textId="246F514F"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494"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5FFD7B34" w14:textId="51F4FC47"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2</w:t>
            </w:r>
          </w:p>
        </w:tc>
        <w:tc>
          <w:tcPr>
            <w:tcW w:w="629"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1A6C5E72" w14:textId="2F3F1D81"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12</w:t>
            </w:r>
          </w:p>
        </w:tc>
        <w:tc>
          <w:tcPr>
            <w:tcW w:w="916"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4A700C1D" w14:textId="0D3C4D40"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0</w:t>
            </w:r>
          </w:p>
        </w:tc>
        <w:tc>
          <w:tcPr>
            <w:tcW w:w="881"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478D8010" w14:textId="208584AE"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6</w:t>
            </w:r>
          </w:p>
        </w:tc>
        <w:tc>
          <w:tcPr>
            <w:tcW w:w="698"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1A76C340" w14:textId="537C05FE"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0</w:t>
            </w:r>
          </w:p>
        </w:tc>
        <w:tc>
          <w:tcPr>
            <w:tcW w:w="462"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592D3522" w14:textId="64991F78"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6</w:t>
            </w:r>
          </w:p>
        </w:tc>
        <w:tc>
          <w:tcPr>
            <w:tcW w:w="650"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365C2CBF"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w:t>
            </w:r>
          </w:p>
        </w:tc>
      </w:tr>
      <w:tr w:rsidR="00945AE4" w:rsidRPr="0046011B" w14:paraId="3E64BDF6" w14:textId="77777777" w:rsidTr="00945AE4">
        <w:trPr>
          <w:trHeight w:val="1171"/>
        </w:trPr>
        <w:tc>
          <w:tcPr>
            <w:tcW w:w="104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EB58C0" w14:textId="77777777" w:rsidR="00945AE4" w:rsidRPr="0046011B" w:rsidRDefault="00945AE4" w:rsidP="00945AE4">
            <w:pPr>
              <w:rPr>
                <w:rFonts w:ascii="Calibri" w:hAnsi="Calibri" w:cs="Calibri"/>
                <w:color w:val="000000"/>
                <w:sz w:val="20"/>
                <w:szCs w:val="20"/>
              </w:rPr>
            </w:pPr>
            <w:r w:rsidRPr="0046011B">
              <w:rPr>
                <w:rFonts w:ascii="Calibri" w:hAnsi="Calibri" w:cs="Calibri"/>
                <w:color w:val="000000"/>
                <w:sz w:val="20"/>
                <w:szCs w:val="20"/>
              </w:rPr>
              <w:t>Disaster Risk Reduction (DRR)</w:t>
            </w:r>
          </w:p>
        </w:tc>
        <w:tc>
          <w:tcPr>
            <w:tcW w:w="1068" w:type="dxa"/>
            <w:tcBorders>
              <w:top w:val="single" w:sz="8" w:space="0" w:color="auto"/>
              <w:left w:val="single" w:sz="8" w:space="0" w:color="auto"/>
              <w:bottom w:val="single" w:sz="8" w:space="0" w:color="auto"/>
              <w:right w:val="single" w:sz="8" w:space="0" w:color="auto"/>
            </w:tcBorders>
          </w:tcPr>
          <w:p w14:paraId="00B52C06" w14:textId="6F07CCA8" w:rsidR="00945AE4" w:rsidRPr="00945AE4" w:rsidRDefault="00945AE4" w:rsidP="00945AE4">
            <w:pPr>
              <w:rPr>
                <w:rFonts w:ascii="Calibri" w:hAnsi="Calibri" w:cs="Calibri"/>
                <w:color w:val="000000"/>
                <w:sz w:val="20"/>
                <w:szCs w:val="20"/>
              </w:rPr>
            </w:pPr>
            <w:proofErr w:type="spellStart"/>
            <w:r>
              <w:rPr>
                <w:rFonts w:ascii="Calibri" w:hAnsi="Calibri" w:cs="Calibri"/>
                <w:color w:val="000000"/>
                <w:sz w:val="20"/>
                <w:szCs w:val="20"/>
              </w:rPr>
              <w:t>Hazmieh</w:t>
            </w:r>
            <w:proofErr w:type="spellEnd"/>
          </w:p>
        </w:tc>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B8921E" w14:textId="0F29329F" w:rsidR="00945AE4" w:rsidRPr="00945AE4" w:rsidRDefault="00945AE4" w:rsidP="00945AE4">
            <w:pPr>
              <w:rPr>
                <w:rFonts w:ascii="Calibri" w:hAnsi="Calibri" w:cs="Calibri"/>
                <w:color w:val="000000"/>
                <w:sz w:val="20"/>
                <w:szCs w:val="20"/>
              </w:rPr>
            </w:pPr>
            <w:r>
              <w:rPr>
                <w:rFonts w:ascii="Calibri" w:hAnsi="Calibri" w:cs="Calibri"/>
                <w:color w:val="000000"/>
                <w:sz w:val="20"/>
                <w:szCs w:val="20"/>
              </w:rPr>
              <w:t>25</w:t>
            </w:r>
          </w:p>
        </w:tc>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CA76F7" w14:textId="0461EEEB"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7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42DB6A" w14:textId="6A7A9904"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2</w:t>
            </w:r>
          </w:p>
        </w:tc>
        <w:tc>
          <w:tcPr>
            <w:tcW w:w="7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E84AC0" w14:textId="351E1612"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72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886809" w14:textId="11B19092"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0</w:t>
            </w:r>
          </w:p>
        </w:tc>
        <w:tc>
          <w:tcPr>
            <w:tcW w:w="4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0C1BA0" w14:textId="063418AE"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0</w:t>
            </w:r>
          </w:p>
        </w:tc>
        <w:tc>
          <w:tcPr>
            <w:tcW w:w="6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8CBACA" w14:textId="73DE9306"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4</w:t>
            </w:r>
          </w:p>
        </w:tc>
        <w:tc>
          <w:tcPr>
            <w:tcW w:w="9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E6C659" w14:textId="7735CA1F"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8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5444FC" w14:textId="15F87FAC"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6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E74CBE" w14:textId="24178584"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4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77DCA9" w14:textId="3ACDFBDA"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6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58E563"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w:t>
            </w:r>
          </w:p>
        </w:tc>
      </w:tr>
      <w:tr w:rsidR="00945AE4" w:rsidRPr="0046011B" w14:paraId="60F0DE3F" w14:textId="77777777" w:rsidTr="00945AE4">
        <w:trPr>
          <w:trHeight w:val="1171"/>
        </w:trPr>
        <w:tc>
          <w:tcPr>
            <w:tcW w:w="1049"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39D86CA5" w14:textId="77777777" w:rsidR="00945AE4" w:rsidRPr="0046011B" w:rsidRDefault="00945AE4" w:rsidP="00945AE4">
            <w:pPr>
              <w:rPr>
                <w:rFonts w:ascii="Calibri" w:hAnsi="Calibri" w:cs="Calibri"/>
                <w:color w:val="000000"/>
                <w:sz w:val="20"/>
                <w:szCs w:val="20"/>
              </w:rPr>
            </w:pPr>
            <w:r w:rsidRPr="0046011B">
              <w:rPr>
                <w:rFonts w:ascii="Calibri" w:hAnsi="Calibri" w:cs="Calibri"/>
                <w:color w:val="000000"/>
                <w:sz w:val="20"/>
                <w:szCs w:val="20"/>
              </w:rPr>
              <w:t>Disaster Management Services</w:t>
            </w:r>
          </w:p>
        </w:tc>
        <w:tc>
          <w:tcPr>
            <w:tcW w:w="1068" w:type="dxa"/>
            <w:tcBorders>
              <w:top w:val="single" w:sz="8" w:space="0" w:color="auto"/>
              <w:left w:val="single" w:sz="8" w:space="0" w:color="auto"/>
              <w:bottom w:val="single" w:sz="8" w:space="0" w:color="auto"/>
              <w:right w:val="single" w:sz="8" w:space="0" w:color="auto"/>
            </w:tcBorders>
            <w:shd w:val="clear" w:color="C0E6F5" w:fill="C0E6F5"/>
          </w:tcPr>
          <w:p w14:paraId="162F2F3A" w14:textId="691915AA" w:rsidR="00945AE4" w:rsidRPr="00945AE4" w:rsidRDefault="00945AE4" w:rsidP="00945AE4">
            <w:pPr>
              <w:rPr>
                <w:rFonts w:ascii="Calibri" w:hAnsi="Calibri" w:cs="Calibri"/>
                <w:color w:val="000000"/>
                <w:sz w:val="20"/>
                <w:szCs w:val="20"/>
              </w:rPr>
            </w:pPr>
            <w:r>
              <w:rPr>
                <w:rFonts w:ascii="Calibri" w:hAnsi="Calibri" w:cs="Calibri"/>
                <w:color w:val="000000"/>
                <w:sz w:val="20"/>
                <w:szCs w:val="20"/>
              </w:rPr>
              <w:t>Hadad</w:t>
            </w:r>
          </w:p>
        </w:tc>
        <w:tc>
          <w:tcPr>
            <w:tcW w:w="866"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3ECCCD75" w14:textId="541802E2" w:rsidR="00945AE4" w:rsidRPr="00945AE4" w:rsidRDefault="00945AE4" w:rsidP="00945AE4">
            <w:pPr>
              <w:rPr>
                <w:rFonts w:ascii="Calibri" w:hAnsi="Calibri" w:cs="Calibri"/>
                <w:color w:val="000000"/>
                <w:sz w:val="20"/>
                <w:szCs w:val="20"/>
              </w:rPr>
            </w:pPr>
            <w:r>
              <w:rPr>
                <w:rFonts w:ascii="Calibri" w:hAnsi="Calibri" w:cs="Calibri"/>
                <w:color w:val="000000"/>
                <w:sz w:val="20"/>
                <w:szCs w:val="20"/>
              </w:rPr>
              <w:t>31</w:t>
            </w:r>
          </w:p>
        </w:tc>
        <w:tc>
          <w:tcPr>
            <w:tcW w:w="560"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51F2E156" w14:textId="27F4C43E"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773"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6DBB864B" w14:textId="095A50BD"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8</w:t>
            </w:r>
          </w:p>
        </w:tc>
        <w:tc>
          <w:tcPr>
            <w:tcW w:w="777"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4E1BD438" w14:textId="46B8F8A9"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723"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1CA9549E" w14:textId="409EA459"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494"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271FF6EF" w14:textId="0F900FB1"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3</w:t>
            </w:r>
          </w:p>
        </w:tc>
        <w:tc>
          <w:tcPr>
            <w:tcW w:w="629"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1050F7E2" w14:textId="1CC00679"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15</w:t>
            </w:r>
          </w:p>
        </w:tc>
        <w:tc>
          <w:tcPr>
            <w:tcW w:w="916"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0D425067" w14:textId="5DC20139"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881"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441334D8" w14:textId="377B3643"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698"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2FDF0981" w14:textId="28C0F16B"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462"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1A7C54D6" w14:textId="7DBC34DF"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650" w:type="dxa"/>
            <w:tcBorders>
              <w:top w:val="single" w:sz="8" w:space="0" w:color="auto"/>
              <w:left w:val="single" w:sz="8" w:space="0" w:color="auto"/>
              <w:bottom w:val="single" w:sz="8" w:space="0" w:color="auto"/>
              <w:right w:val="single" w:sz="8" w:space="0" w:color="auto"/>
            </w:tcBorders>
            <w:shd w:val="clear" w:color="C0E6F5" w:fill="C0E6F5"/>
            <w:vAlign w:val="center"/>
            <w:hideMark/>
          </w:tcPr>
          <w:p w14:paraId="2ECF4759"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w:t>
            </w:r>
          </w:p>
        </w:tc>
      </w:tr>
      <w:tr w:rsidR="00945AE4" w:rsidRPr="0046011B" w14:paraId="0BCDBE42" w14:textId="77777777" w:rsidTr="00945AE4">
        <w:trPr>
          <w:trHeight w:val="1034"/>
        </w:trPr>
        <w:tc>
          <w:tcPr>
            <w:tcW w:w="1049"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138B0A94" w14:textId="76711EA5" w:rsidR="00945AE4" w:rsidRPr="0046011B" w:rsidRDefault="00945AE4" w:rsidP="00945AE4">
            <w:pPr>
              <w:rPr>
                <w:rFonts w:ascii="Calibri" w:hAnsi="Calibri" w:cs="Calibri"/>
                <w:color w:val="000000"/>
                <w:sz w:val="20"/>
                <w:szCs w:val="20"/>
              </w:rPr>
            </w:pPr>
            <w:r w:rsidRPr="0046011B">
              <w:rPr>
                <w:rFonts w:ascii="Calibri" w:hAnsi="Calibri" w:cs="Calibri"/>
                <w:color w:val="000000"/>
                <w:sz w:val="20"/>
                <w:szCs w:val="20"/>
              </w:rPr>
              <w:t xml:space="preserve">Nursing University </w:t>
            </w:r>
          </w:p>
        </w:tc>
        <w:tc>
          <w:tcPr>
            <w:tcW w:w="1068" w:type="dxa"/>
            <w:tcBorders>
              <w:top w:val="single" w:sz="8" w:space="0" w:color="auto"/>
              <w:left w:val="single" w:sz="8" w:space="0" w:color="auto"/>
              <w:bottom w:val="single" w:sz="4" w:space="0" w:color="44B3E1"/>
              <w:right w:val="single" w:sz="8" w:space="0" w:color="auto"/>
            </w:tcBorders>
          </w:tcPr>
          <w:p w14:paraId="71839BC3" w14:textId="6CB19E7E" w:rsidR="00945AE4" w:rsidRPr="00945AE4" w:rsidRDefault="00945AE4" w:rsidP="00945AE4">
            <w:pPr>
              <w:rPr>
                <w:rFonts w:ascii="Calibri" w:hAnsi="Calibri" w:cs="Calibri"/>
                <w:color w:val="000000"/>
                <w:sz w:val="20"/>
                <w:szCs w:val="20"/>
              </w:rPr>
            </w:pPr>
            <w:r>
              <w:rPr>
                <w:rFonts w:ascii="Calibri" w:hAnsi="Calibri" w:cs="Calibri"/>
                <w:color w:val="000000"/>
                <w:sz w:val="20"/>
                <w:szCs w:val="20"/>
              </w:rPr>
              <w:t>Baabda</w:t>
            </w:r>
            <w:r>
              <w:rPr>
                <w:rFonts w:ascii="Calibri" w:hAnsi="Calibri" w:cs="Calibri"/>
                <w:color w:val="000000"/>
                <w:sz w:val="20"/>
                <w:szCs w:val="20"/>
              </w:rPr>
              <w:br/>
            </w:r>
          </w:p>
        </w:tc>
        <w:tc>
          <w:tcPr>
            <w:tcW w:w="866"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582194A0" w14:textId="0B176147" w:rsidR="00945AE4" w:rsidRPr="00945AE4" w:rsidRDefault="00945AE4" w:rsidP="00945AE4">
            <w:pPr>
              <w:rPr>
                <w:rFonts w:ascii="Calibri" w:hAnsi="Calibri" w:cs="Calibri"/>
                <w:color w:val="000000"/>
                <w:sz w:val="20"/>
                <w:szCs w:val="20"/>
              </w:rPr>
            </w:pPr>
            <w:r>
              <w:rPr>
                <w:rFonts w:ascii="Calibri" w:hAnsi="Calibri" w:cs="Calibri"/>
                <w:color w:val="000000"/>
                <w:sz w:val="20"/>
                <w:szCs w:val="20"/>
              </w:rPr>
              <w:t>9</w:t>
            </w:r>
          </w:p>
        </w:tc>
        <w:tc>
          <w:tcPr>
            <w:tcW w:w="560"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1B4F9532" w14:textId="43AA07C0"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773"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571B5530" w14:textId="475163DE"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5</w:t>
            </w:r>
          </w:p>
        </w:tc>
        <w:tc>
          <w:tcPr>
            <w:tcW w:w="777"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4E9FEADA" w14:textId="090DA2F1"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723"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680193EB" w14:textId="44F63238"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494"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1F949FB3" w14:textId="51A9488D"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3</w:t>
            </w:r>
          </w:p>
        </w:tc>
        <w:tc>
          <w:tcPr>
            <w:tcW w:w="629"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23BF5D23" w14:textId="2262E61F"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7</w:t>
            </w:r>
          </w:p>
        </w:tc>
        <w:tc>
          <w:tcPr>
            <w:tcW w:w="916"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7F64C9A6" w14:textId="25BD7B80"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881"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5898DF83" w14:textId="7E4B3B43"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698"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7BC38851" w14:textId="14F32E63"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462"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17518291" w14:textId="58BE3F32" w:rsidR="00945AE4" w:rsidRPr="00945AE4" w:rsidRDefault="00945AE4" w:rsidP="00945AE4">
            <w:pPr>
              <w:jc w:val="center"/>
              <w:rPr>
                <w:rFonts w:ascii="Calibri" w:hAnsi="Calibri" w:cs="Calibri"/>
                <w:color w:val="000000"/>
                <w:sz w:val="20"/>
                <w:szCs w:val="20"/>
              </w:rPr>
            </w:pPr>
            <w:r>
              <w:rPr>
                <w:rFonts w:ascii="Calibri" w:hAnsi="Calibri" w:cs="Calibri"/>
                <w:color w:val="000000"/>
                <w:sz w:val="20"/>
                <w:szCs w:val="20"/>
              </w:rPr>
              <w:t>1</w:t>
            </w:r>
          </w:p>
        </w:tc>
        <w:tc>
          <w:tcPr>
            <w:tcW w:w="650" w:type="dxa"/>
            <w:tcBorders>
              <w:top w:val="single" w:sz="8" w:space="0" w:color="auto"/>
              <w:left w:val="single" w:sz="8" w:space="0" w:color="auto"/>
              <w:bottom w:val="single" w:sz="4" w:space="0" w:color="44B3E1"/>
              <w:right w:val="single" w:sz="8" w:space="0" w:color="auto"/>
            </w:tcBorders>
            <w:shd w:val="clear" w:color="auto" w:fill="auto"/>
            <w:vAlign w:val="center"/>
            <w:hideMark/>
          </w:tcPr>
          <w:p w14:paraId="2D0AA0F6" w14:textId="77777777" w:rsidR="00945AE4" w:rsidRPr="0046011B" w:rsidRDefault="00945AE4" w:rsidP="00945AE4">
            <w:pPr>
              <w:jc w:val="center"/>
              <w:rPr>
                <w:rFonts w:ascii="Calibri" w:hAnsi="Calibri" w:cs="Calibri"/>
                <w:color w:val="000000"/>
                <w:sz w:val="20"/>
                <w:szCs w:val="20"/>
              </w:rPr>
            </w:pPr>
            <w:r w:rsidRPr="0046011B">
              <w:rPr>
                <w:rFonts w:ascii="Calibri" w:hAnsi="Calibri" w:cs="Calibri"/>
                <w:color w:val="000000"/>
                <w:sz w:val="20"/>
                <w:szCs w:val="20"/>
              </w:rPr>
              <w:t>-</w:t>
            </w:r>
          </w:p>
        </w:tc>
      </w:tr>
      <w:tr w:rsidR="00E854CD" w:rsidRPr="0046011B" w14:paraId="2AF26D75" w14:textId="77777777" w:rsidTr="007F0579">
        <w:trPr>
          <w:trHeight w:val="291"/>
        </w:trPr>
        <w:tc>
          <w:tcPr>
            <w:tcW w:w="1049" w:type="dxa"/>
            <w:tcBorders>
              <w:top w:val="single" w:sz="8" w:space="0" w:color="auto"/>
              <w:left w:val="single" w:sz="8" w:space="0" w:color="auto"/>
              <w:bottom w:val="single" w:sz="8" w:space="0" w:color="auto"/>
              <w:right w:val="single" w:sz="8" w:space="0" w:color="auto"/>
            </w:tcBorders>
            <w:shd w:val="clear" w:color="000000" w:fill="C6EFCE"/>
            <w:vAlign w:val="center"/>
            <w:hideMark/>
          </w:tcPr>
          <w:p w14:paraId="6F08A8FD" w14:textId="77777777" w:rsidR="00E854CD" w:rsidRPr="0046011B" w:rsidRDefault="00E854CD" w:rsidP="00E854CD">
            <w:pPr>
              <w:rPr>
                <w:rFonts w:ascii="Calibri" w:hAnsi="Calibri" w:cs="Calibri"/>
                <w:color w:val="000000"/>
                <w:sz w:val="20"/>
                <w:szCs w:val="20"/>
              </w:rPr>
            </w:pPr>
            <w:r w:rsidRPr="0046011B">
              <w:rPr>
                <w:rFonts w:ascii="Calibri" w:hAnsi="Calibri" w:cs="Calibri"/>
                <w:color w:val="000000"/>
                <w:sz w:val="20"/>
                <w:szCs w:val="20"/>
              </w:rPr>
              <w:t>Total</w:t>
            </w:r>
          </w:p>
        </w:tc>
        <w:tc>
          <w:tcPr>
            <w:tcW w:w="1068" w:type="dxa"/>
            <w:tcBorders>
              <w:top w:val="single" w:sz="8" w:space="0" w:color="auto"/>
              <w:left w:val="single" w:sz="8" w:space="0" w:color="auto"/>
              <w:bottom w:val="single" w:sz="8" w:space="0" w:color="auto"/>
              <w:right w:val="single" w:sz="8" w:space="0" w:color="auto"/>
            </w:tcBorders>
            <w:shd w:val="clear" w:color="000000" w:fill="C6EFCE"/>
          </w:tcPr>
          <w:p w14:paraId="281873CA" w14:textId="77777777" w:rsidR="00E854CD" w:rsidRPr="0046011B" w:rsidRDefault="00E854CD" w:rsidP="00E854CD">
            <w:pPr>
              <w:rPr>
                <w:rFonts w:ascii="Calibri" w:hAnsi="Calibri" w:cs="Calibri"/>
                <w:color w:val="000000"/>
                <w:sz w:val="20"/>
                <w:szCs w:val="20"/>
              </w:rPr>
            </w:pPr>
          </w:p>
        </w:tc>
        <w:tc>
          <w:tcPr>
            <w:tcW w:w="866" w:type="dxa"/>
            <w:tcBorders>
              <w:top w:val="single" w:sz="8" w:space="0" w:color="auto"/>
              <w:left w:val="single" w:sz="8" w:space="0" w:color="auto"/>
              <w:bottom w:val="single" w:sz="8" w:space="0" w:color="auto"/>
              <w:right w:val="single" w:sz="8" w:space="0" w:color="auto"/>
            </w:tcBorders>
            <w:shd w:val="clear" w:color="000000" w:fill="C6EFCE"/>
            <w:hideMark/>
          </w:tcPr>
          <w:p w14:paraId="3A47E8E6" w14:textId="7A4435AE" w:rsidR="00E854CD" w:rsidRPr="0046011B" w:rsidRDefault="00E854CD" w:rsidP="00E854CD">
            <w:pPr>
              <w:rPr>
                <w:rFonts w:ascii="Calibri" w:hAnsi="Calibri" w:cs="Calibri"/>
                <w:color w:val="000000"/>
                <w:sz w:val="20"/>
                <w:szCs w:val="20"/>
              </w:rPr>
            </w:pPr>
            <w:r w:rsidRPr="004F2012">
              <w:t>267</w:t>
            </w:r>
          </w:p>
        </w:tc>
        <w:tc>
          <w:tcPr>
            <w:tcW w:w="560" w:type="dxa"/>
            <w:tcBorders>
              <w:top w:val="single" w:sz="8" w:space="0" w:color="auto"/>
              <w:left w:val="single" w:sz="8" w:space="0" w:color="auto"/>
              <w:bottom w:val="single" w:sz="8" w:space="0" w:color="auto"/>
              <w:right w:val="single" w:sz="8" w:space="0" w:color="auto"/>
            </w:tcBorders>
            <w:shd w:val="clear" w:color="000000" w:fill="C6EFCE"/>
            <w:hideMark/>
          </w:tcPr>
          <w:p w14:paraId="73BE841C" w14:textId="28CF8F47" w:rsidR="00E854CD" w:rsidRPr="0046011B" w:rsidRDefault="00E854CD" w:rsidP="00E854CD">
            <w:pPr>
              <w:jc w:val="center"/>
              <w:rPr>
                <w:rFonts w:ascii="Calibri" w:hAnsi="Calibri" w:cs="Calibri"/>
                <w:color w:val="000000"/>
                <w:sz w:val="20"/>
                <w:szCs w:val="20"/>
              </w:rPr>
            </w:pPr>
            <w:r w:rsidRPr="004F2012">
              <w:t>27</w:t>
            </w:r>
          </w:p>
        </w:tc>
        <w:tc>
          <w:tcPr>
            <w:tcW w:w="773" w:type="dxa"/>
            <w:tcBorders>
              <w:top w:val="single" w:sz="8" w:space="0" w:color="auto"/>
              <w:left w:val="single" w:sz="8" w:space="0" w:color="auto"/>
              <w:bottom w:val="single" w:sz="8" w:space="0" w:color="auto"/>
              <w:right w:val="single" w:sz="8" w:space="0" w:color="auto"/>
            </w:tcBorders>
            <w:shd w:val="clear" w:color="000000" w:fill="C6EFCE"/>
            <w:hideMark/>
          </w:tcPr>
          <w:p w14:paraId="6EDF2E17" w14:textId="63B25778" w:rsidR="00E854CD" w:rsidRPr="0046011B" w:rsidRDefault="00E854CD" w:rsidP="00E854CD">
            <w:pPr>
              <w:jc w:val="center"/>
              <w:rPr>
                <w:rFonts w:ascii="Calibri" w:hAnsi="Calibri" w:cs="Calibri"/>
                <w:color w:val="000000"/>
                <w:sz w:val="20"/>
                <w:szCs w:val="20"/>
              </w:rPr>
            </w:pPr>
            <w:r w:rsidRPr="004F2012">
              <w:t>65</w:t>
            </w:r>
          </w:p>
        </w:tc>
        <w:tc>
          <w:tcPr>
            <w:tcW w:w="777" w:type="dxa"/>
            <w:tcBorders>
              <w:top w:val="single" w:sz="8" w:space="0" w:color="auto"/>
              <w:left w:val="single" w:sz="8" w:space="0" w:color="auto"/>
              <w:bottom w:val="single" w:sz="8" w:space="0" w:color="auto"/>
              <w:right w:val="single" w:sz="8" w:space="0" w:color="auto"/>
            </w:tcBorders>
            <w:shd w:val="clear" w:color="000000" w:fill="C6EFCE"/>
            <w:hideMark/>
          </w:tcPr>
          <w:p w14:paraId="02F81561" w14:textId="63164528" w:rsidR="00E854CD" w:rsidRPr="0046011B" w:rsidRDefault="00E854CD" w:rsidP="00E854CD">
            <w:pPr>
              <w:jc w:val="center"/>
              <w:rPr>
                <w:rFonts w:ascii="Calibri" w:hAnsi="Calibri" w:cs="Calibri"/>
                <w:color w:val="000000"/>
                <w:sz w:val="20"/>
                <w:szCs w:val="20"/>
              </w:rPr>
            </w:pPr>
            <w:r w:rsidRPr="004F2012">
              <w:t>11</w:t>
            </w:r>
          </w:p>
        </w:tc>
        <w:tc>
          <w:tcPr>
            <w:tcW w:w="723" w:type="dxa"/>
            <w:tcBorders>
              <w:top w:val="single" w:sz="8" w:space="0" w:color="auto"/>
              <w:left w:val="single" w:sz="8" w:space="0" w:color="auto"/>
              <w:bottom w:val="single" w:sz="8" w:space="0" w:color="auto"/>
              <w:right w:val="single" w:sz="8" w:space="0" w:color="auto"/>
            </w:tcBorders>
            <w:shd w:val="clear" w:color="000000" w:fill="C6EFCE"/>
            <w:hideMark/>
          </w:tcPr>
          <w:p w14:paraId="0258E8CF" w14:textId="7AEE53F1" w:rsidR="00E854CD" w:rsidRPr="0046011B" w:rsidRDefault="00E854CD" w:rsidP="00E854CD">
            <w:pPr>
              <w:jc w:val="center"/>
              <w:rPr>
                <w:rFonts w:ascii="Calibri" w:hAnsi="Calibri" w:cs="Calibri"/>
                <w:color w:val="000000"/>
                <w:sz w:val="20"/>
                <w:szCs w:val="20"/>
              </w:rPr>
            </w:pPr>
            <w:r w:rsidRPr="004F2012">
              <w:t>14</w:t>
            </w:r>
          </w:p>
        </w:tc>
        <w:tc>
          <w:tcPr>
            <w:tcW w:w="494" w:type="dxa"/>
            <w:tcBorders>
              <w:top w:val="single" w:sz="8" w:space="0" w:color="auto"/>
              <w:left w:val="single" w:sz="8" w:space="0" w:color="auto"/>
              <w:bottom w:val="single" w:sz="8" w:space="0" w:color="auto"/>
              <w:right w:val="single" w:sz="8" w:space="0" w:color="auto"/>
            </w:tcBorders>
            <w:shd w:val="clear" w:color="000000" w:fill="C6EFCE"/>
            <w:hideMark/>
          </w:tcPr>
          <w:p w14:paraId="27E7F404" w14:textId="289935C3" w:rsidR="00E854CD" w:rsidRPr="0046011B" w:rsidRDefault="00E854CD" w:rsidP="00E854CD">
            <w:pPr>
              <w:jc w:val="center"/>
              <w:rPr>
                <w:rFonts w:ascii="Calibri" w:hAnsi="Calibri" w:cs="Calibri"/>
                <w:color w:val="000000"/>
                <w:sz w:val="20"/>
                <w:szCs w:val="20"/>
              </w:rPr>
            </w:pPr>
            <w:r w:rsidRPr="004F2012">
              <w:t>50</w:t>
            </w:r>
          </w:p>
        </w:tc>
        <w:tc>
          <w:tcPr>
            <w:tcW w:w="629" w:type="dxa"/>
            <w:tcBorders>
              <w:top w:val="single" w:sz="8" w:space="0" w:color="auto"/>
              <w:left w:val="single" w:sz="8" w:space="0" w:color="auto"/>
              <w:bottom w:val="single" w:sz="8" w:space="0" w:color="auto"/>
              <w:right w:val="single" w:sz="8" w:space="0" w:color="auto"/>
            </w:tcBorders>
            <w:shd w:val="clear" w:color="000000" w:fill="C6EFCE"/>
            <w:hideMark/>
          </w:tcPr>
          <w:p w14:paraId="08890B61" w14:textId="3A6566FC" w:rsidR="00E854CD" w:rsidRPr="0046011B" w:rsidRDefault="00E854CD" w:rsidP="00E854CD">
            <w:pPr>
              <w:jc w:val="center"/>
              <w:rPr>
                <w:rFonts w:ascii="Calibri" w:hAnsi="Calibri" w:cs="Calibri"/>
                <w:color w:val="000000"/>
                <w:sz w:val="20"/>
                <w:szCs w:val="20"/>
              </w:rPr>
            </w:pPr>
            <w:r w:rsidRPr="004F2012">
              <w:t>85</w:t>
            </w:r>
          </w:p>
        </w:tc>
        <w:tc>
          <w:tcPr>
            <w:tcW w:w="916" w:type="dxa"/>
            <w:tcBorders>
              <w:top w:val="single" w:sz="8" w:space="0" w:color="auto"/>
              <w:left w:val="single" w:sz="8" w:space="0" w:color="auto"/>
              <w:bottom w:val="single" w:sz="8" w:space="0" w:color="auto"/>
              <w:right w:val="single" w:sz="8" w:space="0" w:color="auto"/>
            </w:tcBorders>
            <w:shd w:val="clear" w:color="000000" w:fill="C6EFCE"/>
            <w:hideMark/>
          </w:tcPr>
          <w:p w14:paraId="0C86307A" w14:textId="502DA155" w:rsidR="00E854CD" w:rsidRPr="0046011B" w:rsidRDefault="00E854CD" w:rsidP="00E854CD">
            <w:pPr>
              <w:jc w:val="center"/>
              <w:rPr>
                <w:rFonts w:ascii="Calibri" w:hAnsi="Calibri" w:cs="Calibri"/>
                <w:color w:val="000000"/>
                <w:sz w:val="20"/>
                <w:szCs w:val="20"/>
              </w:rPr>
            </w:pPr>
            <w:r w:rsidRPr="004F2012">
              <w:t>5</w:t>
            </w:r>
          </w:p>
        </w:tc>
        <w:tc>
          <w:tcPr>
            <w:tcW w:w="881" w:type="dxa"/>
            <w:tcBorders>
              <w:top w:val="single" w:sz="8" w:space="0" w:color="auto"/>
              <w:left w:val="single" w:sz="8" w:space="0" w:color="auto"/>
              <w:bottom w:val="single" w:sz="8" w:space="0" w:color="auto"/>
              <w:right w:val="single" w:sz="8" w:space="0" w:color="auto"/>
            </w:tcBorders>
            <w:shd w:val="clear" w:color="000000" w:fill="C6EFCE"/>
            <w:hideMark/>
          </w:tcPr>
          <w:p w14:paraId="12FE808E" w14:textId="05C3C4DA" w:rsidR="00E854CD" w:rsidRPr="0046011B" w:rsidRDefault="00E854CD" w:rsidP="00E854CD">
            <w:pPr>
              <w:jc w:val="center"/>
              <w:rPr>
                <w:rFonts w:ascii="Calibri" w:hAnsi="Calibri" w:cs="Calibri"/>
                <w:color w:val="000000"/>
                <w:sz w:val="20"/>
                <w:szCs w:val="20"/>
              </w:rPr>
            </w:pPr>
            <w:r w:rsidRPr="004F2012">
              <w:t>27</w:t>
            </w:r>
          </w:p>
        </w:tc>
        <w:tc>
          <w:tcPr>
            <w:tcW w:w="698" w:type="dxa"/>
            <w:tcBorders>
              <w:top w:val="single" w:sz="8" w:space="0" w:color="auto"/>
              <w:left w:val="single" w:sz="8" w:space="0" w:color="auto"/>
              <w:bottom w:val="single" w:sz="8" w:space="0" w:color="auto"/>
              <w:right w:val="single" w:sz="8" w:space="0" w:color="auto"/>
            </w:tcBorders>
            <w:shd w:val="clear" w:color="000000" w:fill="C6EFCE"/>
            <w:hideMark/>
          </w:tcPr>
          <w:p w14:paraId="48967EF5" w14:textId="003E1652" w:rsidR="00E854CD" w:rsidRPr="0046011B" w:rsidRDefault="00E854CD" w:rsidP="00E854CD">
            <w:pPr>
              <w:jc w:val="center"/>
              <w:rPr>
                <w:rFonts w:ascii="Calibri" w:hAnsi="Calibri" w:cs="Calibri"/>
                <w:color w:val="000000"/>
                <w:sz w:val="20"/>
                <w:szCs w:val="20"/>
              </w:rPr>
            </w:pPr>
            <w:r w:rsidRPr="004F2012">
              <w:t>5</w:t>
            </w:r>
          </w:p>
        </w:tc>
        <w:tc>
          <w:tcPr>
            <w:tcW w:w="462" w:type="dxa"/>
            <w:tcBorders>
              <w:top w:val="single" w:sz="8" w:space="0" w:color="auto"/>
              <w:left w:val="single" w:sz="8" w:space="0" w:color="auto"/>
              <w:bottom w:val="single" w:sz="8" w:space="0" w:color="auto"/>
              <w:right w:val="single" w:sz="8" w:space="0" w:color="auto"/>
            </w:tcBorders>
            <w:shd w:val="clear" w:color="000000" w:fill="C6EFCE"/>
            <w:hideMark/>
          </w:tcPr>
          <w:p w14:paraId="50915FC2" w14:textId="1BD578F0" w:rsidR="00E854CD" w:rsidRPr="0046011B" w:rsidRDefault="00E854CD" w:rsidP="00E854CD">
            <w:pPr>
              <w:jc w:val="center"/>
              <w:rPr>
                <w:rFonts w:ascii="Calibri" w:hAnsi="Calibri" w:cs="Calibri"/>
                <w:color w:val="000000"/>
                <w:sz w:val="20"/>
                <w:szCs w:val="20"/>
              </w:rPr>
            </w:pPr>
            <w:r w:rsidRPr="004F2012">
              <w:t>24</w:t>
            </w:r>
          </w:p>
        </w:tc>
        <w:tc>
          <w:tcPr>
            <w:tcW w:w="650" w:type="dxa"/>
            <w:tcBorders>
              <w:top w:val="single" w:sz="8" w:space="0" w:color="auto"/>
              <w:left w:val="single" w:sz="8" w:space="0" w:color="auto"/>
              <w:bottom w:val="single" w:sz="8" w:space="0" w:color="auto"/>
              <w:right w:val="single" w:sz="8" w:space="0" w:color="auto"/>
            </w:tcBorders>
            <w:shd w:val="clear" w:color="000000" w:fill="C6EFCE"/>
            <w:hideMark/>
          </w:tcPr>
          <w:p w14:paraId="74137EBF" w14:textId="319C616C" w:rsidR="00E854CD" w:rsidRPr="0046011B" w:rsidRDefault="00E854CD" w:rsidP="00E854CD">
            <w:pPr>
              <w:jc w:val="center"/>
              <w:rPr>
                <w:rFonts w:ascii="Calibri" w:hAnsi="Calibri" w:cs="Calibri"/>
                <w:color w:val="000000"/>
                <w:sz w:val="20"/>
                <w:szCs w:val="20"/>
              </w:rPr>
            </w:pPr>
            <w:r w:rsidRPr="004F2012">
              <w:t>3</w:t>
            </w:r>
          </w:p>
        </w:tc>
      </w:tr>
    </w:tbl>
    <w:p w14:paraId="5BEF4903" w14:textId="1C92F2D5" w:rsidR="0074682D" w:rsidRPr="0074682D" w:rsidRDefault="0074682D" w:rsidP="00332ECF">
      <w:pPr>
        <w:pStyle w:val="Heading3"/>
      </w:pPr>
    </w:p>
    <w:p w14:paraId="73993567" w14:textId="77777777" w:rsidR="0074682D" w:rsidRPr="0074682D" w:rsidRDefault="0074682D" w:rsidP="0074682D">
      <w:r w:rsidRPr="0074682D">
        <w:rPr>
          <w:b/>
          <w:bCs/>
        </w:rPr>
        <w:t>Total Number of Locations: 36 LRC sites (includes HQ, Blood Bank, MSS, DRR, DMS, Nursing University, and Disaster Response sites)</w:t>
      </w:r>
    </w:p>
    <w:p w14:paraId="57A295A5" w14:textId="4C7A8735" w:rsidR="0074682D" w:rsidRPr="0074682D" w:rsidRDefault="0074682D" w:rsidP="0074682D"/>
    <w:p w14:paraId="1353C412" w14:textId="5B9DC85F" w:rsidR="0074682D" w:rsidRPr="0074682D" w:rsidRDefault="0074682D" w:rsidP="00332ECF">
      <w:pPr>
        <w:pStyle w:val="Heading3"/>
      </w:pPr>
      <w:bookmarkStart w:id="17" w:name="_Toc191893475"/>
      <w:r w:rsidRPr="0074682D">
        <w:t>9.2 Current Topology and Services</w:t>
      </w:r>
      <w:bookmarkEnd w:id="17"/>
      <w:r w:rsidR="00F5149F">
        <w:br/>
      </w:r>
    </w:p>
    <w:p w14:paraId="0F9593F3" w14:textId="77777777" w:rsidR="0074682D" w:rsidRPr="0074682D" w:rsidRDefault="0074682D">
      <w:pPr>
        <w:numPr>
          <w:ilvl w:val="0"/>
          <w:numId w:val="15"/>
        </w:numPr>
      </w:pPr>
      <w:r w:rsidRPr="0074682D">
        <w:rPr>
          <w:b/>
          <w:bCs/>
        </w:rPr>
        <w:t>Hotline 170 and Backup Center</w:t>
      </w:r>
      <w:r w:rsidRPr="0074682D">
        <w:t>: This site includes the critical emergency hotline and a dedicated backup center. It will receive active 24/7 monitoring of network devices, systems, and telecommunication infrastructure.</w:t>
      </w:r>
    </w:p>
    <w:p w14:paraId="78598799" w14:textId="77777777" w:rsidR="0074682D" w:rsidRPr="0074682D" w:rsidRDefault="0074682D">
      <w:pPr>
        <w:numPr>
          <w:ilvl w:val="0"/>
          <w:numId w:val="15"/>
        </w:numPr>
      </w:pPr>
      <w:r w:rsidRPr="0074682D">
        <w:rPr>
          <w:b/>
          <w:bCs/>
        </w:rPr>
        <w:t>Blood Bank Centers (13 BTS)</w:t>
      </w:r>
      <w:r w:rsidRPr="0074682D">
        <w:t>: These centers are critical for blood collection and storage operations, requiring active 24/7 monitoring, especially for temperature sensors and UPS systems. Notifications via email and phone call should be triggered in case of any failures or anomalies.</w:t>
      </w:r>
    </w:p>
    <w:p w14:paraId="1DB3ECE0" w14:textId="77777777" w:rsidR="0074682D" w:rsidRPr="0074682D" w:rsidRDefault="0074682D">
      <w:pPr>
        <w:numPr>
          <w:ilvl w:val="0"/>
          <w:numId w:val="15"/>
        </w:numPr>
      </w:pPr>
      <w:r w:rsidRPr="0074682D">
        <w:rPr>
          <w:b/>
          <w:bCs/>
        </w:rPr>
        <w:t>Medico-Social Services (MSS)</w:t>
      </w:r>
      <w:r w:rsidRPr="0074682D">
        <w:t>: This service includes multiple facilities providing medical and social support, all of which need active monitoring and incident management for IT systems and infrastructure.</w:t>
      </w:r>
    </w:p>
    <w:p w14:paraId="1A92FD42" w14:textId="77777777" w:rsidR="0074682D" w:rsidRPr="0074682D" w:rsidRDefault="0074682D">
      <w:pPr>
        <w:numPr>
          <w:ilvl w:val="0"/>
          <w:numId w:val="15"/>
        </w:numPr>
      </w:pPr>
      <w:r w:rsidRPr="0074682D">
        <w:rPr>
          <w:b/>
          <w:bCs/>
        </w:rPr>
        <w:t>Disaster Risk Reduction (DRR) Centers</w:t>
      </w:r>
      <w:r w:rsidRPr="0074682D">
        <w:t>: Six locations focusing on disaster preparedness, response, and mitigation. Active monitoring of their critical systems, including UPS and environmental sensors, is essential.</w:t>
      </w:r>
    </w:p>
    <w:p w14:paraId="140A8314" w14:textId="77777777" w:rsidR="0074682D" w:rsidRPr="0074682D" w:rsidRDefault="0074682D">
      <w:pPr>
        <w:numPr>
          <w:ilvl w:val="0"/>
          <w:numId w:val="15"/>
        </w:numPr>
      </w:pPr>
      <w:r w:rsidRPr="0074682D">
        <w:rPr>
          <w:b/>
          <w:bCs/>
        </w:rPr>
        <w:lastRenderedPageBreak/>
        <w:t>Disaster Management Services (DMS)</w:t>
      </w:r>
      <w:r w:rsidRPr="0074682D">
        <w:t>: Eighteen sites dedicated to disaster management operations, each requiring 24/7 monitoring, incident response, and system alerts (including UPS and temperature sensor monitoring).</w:t>
      </w:r>
    </w:p>
    <w:p w14:paraId="72534F49" w14:textId="77777777" w:rsidR="0074682D" w:rsidRPr="0074682D" w:rsidRDefault="0074682D">
      <w:pPr>
        <w:numPr>
          <w:ilvl w:val="0"/>
          <w:numId w:val="15"/>
        </w:numPr>
      </w:pPr>
      <w:r w:rsidRPr="0074682D">
        <w:rPr>
          <w:b/>
          <w:bCs/>
        </w:rPr>
        <w:t>Nursing University (5 Locations)</w:t>
      </w:r>
      <w:r w:rsidRPr="0074682D">
        <w:t>: Monitoring of infrastructure at all five university locations, with active alerts for potential incidents affecting IT resources.</w:t>
      </w:r>
    </w:p>
    <w:p w14:paraId="01158621" w14:textId="13A1CE14" w:rsidR="0074682D" w:rsidRPr="0074682D" w:rsidRDefault="0074682D" w:rsidP="00332ECF">
      <w:pPr>
        <w:pStyle w:val="Heading3"/>
      </w:pPr>
    </w:p>
    <w:p w14:paraId="31C754F7" w14:textId="4F1CC698" w:rsidR="0074682D" w:rsidRPr="0074682D" w:rsidRDefault="0074682D" w:rsidP="00332ECF">
      <w:pPr>
        <w:pStyle w:val="Heading3"/>
      </w:pPr>
      <w:bookmarkStart w:id="18" w:name="_Toc191893476"/>
      <w:r w:rsidRPr="0074682D">
        <w:t>9.3 Services for All Sites</w:t>
      </w:r>
      <w:bookmarkEnd w:id="18"/>
      <w:r w:rsidR="00F5149F">
        <w:br/>
      </w:r>
    </w:p>
    <w:p w14:paraId="47134B51" w14:textId="77777777" w:rsidR="0074682D" w:rsidRPr="0074682D" w:rsidRDefault="0074682D">
      <w:pPr>
        <w:numPr>
          <w:ilvl w:val="0"/>
          <w:numId w:val="16"/>
        </w:numPr>
      </w:pPr>
      <w:r w:rsidRPr="0074682D">
        <w:rPr>
          <w:b/>
          <w:bCs/>
        </w:rPr>
        <w:t>UPS and Temperature Sensors Monitoring</w:t>
      </w:r>
      <w:r w:rsidRPr="0074682D">
        <w:t>: Active 24/7 monitoring of Uninterruptible Power Supply (UPS) systems and temperature sensors at critical locations, including blood bank centers, disaster management centers, and other sensitive sites.</w:t>
      </w:r>
    </w:p>
    <w:p w14:paraId="4A3D419F" w14:textId="1DFB8625" w:rsidR="0074682D" w:rsidRPr="0074682D" w:rsidRDefault="0074682D">
      <w:pPr>
        <w:numPr>
          <w:ilvl w:val="1"/>
          <w:numId w:val="16"/>
        </w:numPr>
      </w:pPr>
      <w:r w:rsidRPr="0074682D">
        <w:rPr>
          <w:b/>
          <w:bCs/>
        </w:rPr>
        <w:t>Notification System</w:t>
      </w:r>
      <w:r w:rsidRPr="0074682D">
        <w:t>: Automated alerts via email and phone call in the event of power failures, temperature deviations, or other critical incidents.</w:t>
      </w:r>
      <w:r w:rsidR="00F5149F">
        <w:br/>
      </w:r>
    </w:p>
    <w:p w14:paraId="5BC1FC11" w14:textId="5555F383" w:rsidR="003F57A1" w:rsidRPr="003F57A1" w:rsidRDefault="003F57A1" w:rsidP="00332ECF">
      <w:pPr>
        <w:pStyle w:val="Heading3"/>
      </w:pPr>
      <w:bookmarkStart w:id="19" w:name="_Toc191893477"/>
      <w:r w:rsidRPr="003F57A1">
        <w:t>10. Monitoring Platform Capabilities</w:t>
      </w:r>
      <w:bookmarkEnd w:id="19"/>
      <w:r w:rsidR="00F5149F">
        <w:br/>
      </w:r>
    </w:p>
    <w:p w14:paraId="3BF00100" w14:textId="5D6BB9A9" w:rsidR="003F57A1" w:rsidRPr="003F57A1" w:rsidRDefault="003F57A1" w:rsidP="003F57A1">
      <w:r w:rsidRPr="003F57A1">
        <w:t>The monitoring platform provided by the selected vendor must adhere to global best practices, ensuring robust and effective management of the entire LRC infrastructure. The platform must deliver the following capabilities to provide real-time insights, improve operational efficiency, and support proactive incident detection and response.</w:t>
      </w:r>
      <w:r w:rsidR="00F5149F">
        <w:br/>
      </w:r>
    </w:p>
    <w:p w14:paraId="01633B44" w14:textId="08BE76C5" w:rsidR="003F57A1" w:rsidRPr="003F57A1" w:rsidRDefault="003F57A1" w:rsidP="00332ECF">
      <w:pPr>
        <w:pStyle w:val="Heading3"/>
      </w:pPr>
      <w:bookmarkStart w:id="20" w:name="_Toc191893478"/>
      <w:r w:rsidRPr="003F57A1">
        <w:t>10.1 Core Capabilities</w:t>
      </w:r>
      <w:bookmarkEnd w:id="20"/>
      <w:r w:rsidR="00F5149F">
        <w:br/>
      </w:r>
    </w:p>
    <w:p w14:paraId="56E54025" w14:textId="77777777" w:rsidR="003F57A1" w:rsidRPr="003F57A1" w:rsidRDefault="003F57A1">
      <w:pPr>
        <w:numPr>
          <w:ilvl w:val="0"/>
          <w:numId w:val="17"/>
        </w:numPr>
      </w:pPr>
      <w:r w:rsidRPr="003F57A1">
        <w:rPr>
          <w:b/>
          <w:bCs/>
        </w:rPr>
        <w:t>Proactive Monitoring</w:t>
      </w:r>
      <w:r w:rsidRPr="003F57A1">
        <w:t>: The platform must provide 24/7 real-time monitoring of all IT infrastructure components, including network devices (routers, switches, firewalls), servers (physical and virtual), telecommunication systems, UPS systems, and environmental sensors (temperature, humidity, etc.).</w:t>
      </w:r>
    </w:p>
    <w:p w14:paraId="33DABE3C" w14:textId="77777777" w:rsidR="003F57A1" w:rsidRPr="003F57A1" w:rsidRDefault="003F57A1">
      <w:pPr>
        <w:numPr>
          <w:ilvl w:val="0"/>
          <w:numId w:val="17"/>
        </w:numPr>
      </w:pPr>
      <w:r w:rsidRPr="003F57A1">
        <w:rPr>
          <w:b/>
          <w:bCs/>
        </w:rPr>
        <w:t>Multi-Site and Distributed Architecture</w:t>
      </w:r>
      <w:r w:rsidRPr="003F57A1">
        <w:t>: The platform should be capable of monitoring distributed environments across multiple locations, using remote probes or agents to provide visibility into LRC's geographically diverse sites. The platform should support seamless monitoring across all 36 LRC sites, including remote and field offices.</w:t>
      </w:r>
    </w:p>
    <w:p w14:paraId="69C0CD39" w14:textId="77777777" w:rsidR="003F57A1" w:rsidRPr="003F57A1" w:rsidRDefault="003F57A1">
      <w:pPr>
        <w:numPr>
          <w:ilvl w:val="0"/>
          <w:numId w:val="17"/>
        </w:numPr>
      </w:pPr>
      <w:r w:rsidRPr="003F57A1">
        <w:rPr>
          <w:b/>
          <w:bCs/>
        </w:rPr>
        <w:t>Performance Management</w:t>
      </w:r>
      <w:r w:rsidRPr="003F57A1">
        <w:t>: The platform must continuously monitor and optimize the performance of IT systems, ensuring that all systems operate efficiently and meet established service levels. It should track key performance indicators (KPIs) to proactively identify potential issues, such as network latency, bandwidth consumption, CPU and memory utilization, and service availability.</w:t>
      </w:r>
    </w:p>
    <w:p w14:paraId="248E0436" w14:textId="77777777" w:rsidR="003F57A1" w:rsidRPr="003F57A1" w:rsidRDefault="003F57A1">
      <w:pPr>
        <w:numPr>
          <w:ilvl w:val="0"/>
          <w:numId w:val="17"/>
        </w:numPr>
      </w:pPr>
      <w:r w:rsidRPr="003F57A1">
        <w:rPr>
          <w:b/>
          <w:bCs/>
        </w:rPr>
        <w:t>Incident Detection and Alerts</w:t>
      </w:r>
      <w:r w:rsidRPr="003F57A1">
        <w:t>: The platform must automatically detect incidents and anomalies, providing customizable alerts based on predefined thresholds. Alerts must be sent through multiple channels (email, SMS, phone calls, or integrated messaging systems) for critical incidents to ensure prompt response.</w:t>
      </w:r>
    </w:p>
    <w:p w14:paraId="774452CC" w14:textId="77777777" w:rsidR="003F57A1" w:rsidRPr="003F57A1" w:rsidRDefault="003F57A1">
      <w:pPr>
        <w:numPr>
          <w:ilvl w:val="0"/>
          <w:numId w:val="17"/>
        </w:numPr>
      </w:pPr>
      <w:r w:rsidRPr="003F57A1">
        <w:rPr>
          <w:b/>
          <w:bCs/>
        </w:rPr>
        <w:t>Threshold-Based Alerts</w:t>
      </w:r>
      <w:r w:rsidRPr="003F57A1">
        <w:t>: The system should allow for flexible configuration of alert thresholds, enabling LRC to tailor the monitoring solution to their specific operational requirements. This ensures that system performance is always within the acceptable range, with proactive notifications when thresholds are exceeded.</w:t>
      </w:r>
    </w:p>
    <w:p w14:paraId="13294B62" w14:textId="72B75C6C" w:rsidR="003F57A1" w:rsidRPr="003F57A1" w:rsidRDefault="003F57A1">
      <w:pPr>
        <w:numPr>
          <w:ilvl w:val="0"/>
          <w:numId w:val="17"/>
        </w:numPr>
      </w:pPr>
      <w:r w:rsidRPr="003F57A1">
        <w:rPr>
          <w:b/>
          <w:bCs/>
        </w:rPr>
        <w:t>Root Cause Analysis</w:t>
      </w:r>
      <w:r w:rsidRPr="003F57A1">
        <w:t xml:space="preserve">: The monitoring platform should be able to perform automated root cause analysis for detected incidents, </w:t>
      </w:r>
      <w:r w:rsidR="0060575A">
        <w:t xml:space="preserve">this tool should reduce the time required to gather relevant data, thus supporting experts in performing a thorough investigation and minimizing downtime. However, the RCA process remains dependent on expert input for accurate </w:t>
      </w:r>
      <w:r w:rsidR="0060575A">
        <w:lastRenderedPageBreak/>
        <w:t>diagnosis and resolution.</w:t>
      </w:r>
      <w:r w:rsidR="00F5149F">
        <w:br/>
      </w:r>
    </w:p>
    <w:p w14:paraId="323D980A" w14:textId="3FF75006" w:rsidR="003F57A1" w:rsidRPr="003F57A1" w:rsidRDefault="003F57A1" w:rsidP="00332ECF">
      <w:pPr>
        <w:pStyle w:val="Heading3"/>
      </w:pPr>
      <w:bookmarkStart w:id="21" w:name="_Toc191893479"/>
      <w:r w:rsidRPr="003F57A1">
        <w:t>10.2 Advanced Features and Best Practices</w:t>
      </w:r>
      <w:bookmarkEnd w:id="21"/>
      <w:r w:rsidR="00F5149F">
        <w:br/>
      </w:r>
    </w:p>
    <w:p w14:paraId="7FFE7C43" w14:textId="77777777" w:rsidR="003F57A1" w:rsidRPr="003F57A1" w:rsidRDefault="003F57A1">
      <w:pPr>
        <w:numPr>
          <w:ilvl w:val="0"/>
          <w:numId w:val="18"/>
        </w:numPr>
      </w:pPr>
      <w:r w:rsidRPr="003F57A1">
        <w:rPr>
          <w:b/>
          <w:bCs/>
        </w:rPr>
        <w:t>Distributed Monitoring Probes</w:t>
      </w:r>
      <w:r w:rsidRPr="003F57A1">
        <w:t>: To monitor different locations efficiently, the platform must allow for the use of distributed probes or agents. This will provide granular visibility into network and system performance across all LRC sites, including remote locations and field offices.</w:t>
      </w:r>
    </w:p>
    <w:p w14:paraId="60F2253A" w14:textId="77777777" w:rsidR="003F57A1" w:rsidRPr="003F57A1" w:rsidRDefault="003F57A1">
      <w:pPr>
        <w:numPr>
          <w:ilvl w:val="0"/>
          <w:numId w:val="18"/>
        </w:numPr>
      </w:pPr>
      <w:r w:rsidRPr="003F57A1">
        <w:rPr>
          <w:b/>
          <w:bCs/>
        </w:rPr>
        <w:t>Capacity Planning and Forecasting</w:t>
      </w:r>
      <w:r w:rsidRPr="003F57A1">
        <w:t>: The platform should include advanced analytics capabilities for predicting future resource requirements based on historical trends and usage patterns. This will help ensure LRC’s infrastructure is properly sized to meet current and future operational demands.</w:t>
      </w:r>
    </w:p>
    <w:p w14:paraId="448B0AE5" w14:textId="77777777" w:rsidR="003F57A1" w:rsidRPr="003F57A1" w:rsidRDefault="003F57A1">
      <w:pPr>
        <w:numPr>
          <w:ilvl w:val="0"/>
          <w:numId w:val="18"/>
        </w:numPr>
      </w:pPr>
      <w:r w:rsidRPr="003F57A1">
        <w:rPr>
          <w:b/>
          <w:bCs/>
        </w:rPr>
        <w:t>Historical Data Analysis and Trend Reporting</w:t>
      </w:r>
      <w:r w:rsidRPr="003F57A1">
        <w:t>: The platform should store up to 6 months of historical monitoring data for capacity planning, troubleshooting, and trend analysis. Detailed reports should be generated to help understand usage patterns, identify potential bottlenecks, and support decision-making.</w:t>
      </w:r>
    </w:p>
    <w:p w14:paraId="252DD174" w14:textId="77777777" w:rsidR="003F57A1" w:rsidRPr="003F57A1" w:rsidRDefault="003F57A1">
      <w:pPr>
        <w:numPr>
          <w:ilvl w:val="0"/>
          <w:numId w:val="18"/>
        </w:numPr>
      </w:pPr>
      <w:r w:rsidRPr="003F57A1">
        <w:rPr>
          <w:b/>
          <w:bCs/>
        </w:rPr>
        <w:t>Customizable Dashboards</w:t>
      </w:r>
      <w:r w:rsidRPr="003F57A1">
        <w:t>: The platform should provide customizable, role-based dashboards that allow LRC’s IT staff to easily view real-time data, performance metrics, and incident statuses. Dashboards should be user-friendly, enabling efficient monitoring at a glance.</w:t>
      </w:r>
    </w:p>
    <w:p w14:paraId="69C915F2" w14:textId="77777777" w:rsidR="003F57A1" w:rsidRPr="003F57A1" w:rsidRDefault="003F57A1">
      <w:pPr>
        <w:numPr>
          <w:ilvl w:val="0"/>
          <w:numId w:val="18"/>
        </w:numPr>
      </w:pPr>
      <w:r w:rsidRPr="003F57A1">
        <w:rPr>
          <w:b/>
          <w:bCs/>
        </w:rPr>
        <w:t>Automated Ticketing Integration</w:t>
      </w:r>
      <w:r w:rsidRPr="003F57A1">
        <w:t>: The monitoring platform must integrate seamlessly with the vendor’s incident management system (e.g., ServiceNow, Jira) or any other existing ticketing systems to automatically generate and track incident tickets. This integration ensures that incidents are recorded, prioritized, and managed effectively.</w:t>
      </w:r>
    </w:p>
    <w:p w14:paraId="625BD7B4" w14:textId="77777777" w:rsidR="003F57A1" w:rsidRPr="003F57A1" w:rsidRDefault="003F57A1">
      <w:pPr>
        <w:numPr>
          <w:ilvl w:val="0"/>
          <w:numId w:val="18"/>
        </w:numPr>
      </w:pPr>
      <w:r w:rsidRPr="1F279F9E">
        <w:rPr>
          <w:b/>
          <w:bCs/>
        </w:rPr>
        <w:t>Security Event Monitoring</w:t>
      </w:r>
      <w:r>
        <w:t>: The monitoring solution must support integration with LRC’s Security Information and Event Management (SIEM) system. This allows for the aggregation of security-related data across all devices, providing a comprehensive view of potential threats and enabling quick identification of any security incidents or breaches.</w:t>
      </w:r>
    </w:p>
    <w:p w14:paraId="493D921A" w14:textId="5CEA09C9" w:rsidR="4E9D5848" w:rsidRDefault="4E9D5848">
      <w:pPr>
        <w:numPr>
          <w:ilvl w:val="0"/>
          <w:numId w:val="18"/>
        </w:numPr>
        <w:rPr>
          <w:rFonts w:ascii="Century Gothic" w:eastAsia="Century Gothic" w:hAnsi="Century Gothic" w:cs="Century Gothic"/>
        </w:rPr>
      </w:pPr>
      <w:r w:rsidRPr="1F279F9E">
        <w:rPr>
          <w:rFonts w:ascii="Century Gothic" w:eastAsia="Century Gothic" w:hAnsi="Century Gothic" w:cs="Century Gothic"/>
        </w:rPr>
        <w:t>"The monitoring platform must include AI-driven analytics to enhance real-time detection and response, leveraging advanced algorithms for root cause analysis and anomaly detection."</w:t>
      </w:r>
    </w:p>
    <w:p w14:paraId="717498E5" w14:textId="1DA01B4F" w:rsidR="4E9D5848" w:rsidRDefault="4E9D5848">
      <w:pPr>
        <w:numPr>
          <w:ilvl w:val="0"/>
          <w:numId w:val="18"/>
        </w:numPr>
        <w:rPr>
          <w:rFonts w:ascii="Century Gothic" w:eastAsia="Century Gothic" w:hAnsi="Century Gothic" w:cs="Century Gothic"/>
        </w:rPr>
      </w:pPr>
      <w:r w:rsidRPr="1F279F9E">
        <w:rPr>
          <w:rFonts w:ascii="Century Gothic" w:eastAsia="Century Gothic" w:hAnsi="Century Gothic" w:cs="Century Gothic"/>
        </w:rPr>
        <w:t>UEBA functionality must be integrated into the monitoring platform, enabling continuous behavior tracking and risk scoring of users and entities."</w:t>
      </w:r>
    </w:p>
    <w:p w14:paraId="786EF8B7" w14:textId="77777777" w:rsidR="003F57A1" w:rsidRPr="003F57A1" w:rsidRDefault="003F57A1">
      <w:pPr>
        <w:numPr>
          <w:ilvl w:val="0"/>
          <w:numId w:val="18"/>
        </w:numPr>
      </w:pPr>
      <w:r w:rsidRPr="003F57A1">
        <w:rPr>
          <w:b/>
          <w:bCs/>
        </w:rPr>
        <w:t>Compliance and Regulatory Reporting</w:t>
      </w:r>
      <w:r w:rsidRPr="003F57A1">
        <w:t>: The platform must support automated compliance reporting for various regulatory requirements (e.g., ISO 27001, GDPR). It should have predefined templates for compliance reports, helping LRC meet industry standards and audits with minimal effort.</w:t>
      </w:r>
    </w:p>
    <w:p w14:paraId="54488D00" w14:textId="77777777" w:rsidR="003F57A1" w:rsidRPr="003F57A1" w:rsidRDefault="003F57A1">
      <w:pPr>
        <w:numPr>
          <w:ilvl w:val="0"/>
          <w:numId w:val="18"/>
        </w:numPr>
      </w:pPr>
      <w:r w:rsidRPr="003F57A1">
        <w:rPr>
          <w:b/>
          <w:bCs/>
        </w:rPr>
        <w:t>Integration with ITSM (IT Service Management)</w:t>
      </w:r>
      <w:r w:rsidRPr="003F57A1">
        <w:t>: The platform should integrate with ITSM tools (e.g., ServiceNow, ITIL-based systems) for change management, incident management, and problem management. This ensures a unified approach to service delivery and enhances operational efficiency.</w:t>
      </w:r>
    </w:p>
    <w:p w14:paraId="7E56110A" w14:textId="77777777" w:rsidR="003F57A1" w:rsidRPr="003F57A1" w:rsidRDefault="003F57A1">
      <w:pPr>
        <w:numPr>
          <w:ilvl w:val="0"/>
          <w:numId w:val="18"/>
        </w:numPr>
      </w:pPr>
      <w:r w:rsidRPr="003F57A1">
        <w:rPr>
          <w:b/>
          <w:bCs/>
        </w:rPr>
        <w:t>Virtualization and Cloud Monitoring</w:t>
      </w:r>
      <w:r w:rsidRPr="003F57A1">
        <w:t>: Given the growing use of virtualized environments and cloud services, the platform must support monitoring of virtual machines (VMs), cloud-based workloads, and hybrid cloud infrastructures, providing visibility into both on-premise and cloud environments.</w:t>
      </w:r>
    </w:p>
    <w:p w14:paraId="46D896E2" w14:textId="0DC5DE55" w:rsidR="003F57A1" w:rsidRPr="003F57A1" w:rsidRDefault="003F57A1">
      <w:pPr>
        <w:numPr>
          <w:ilvl w:val="0"/>
          <w:numId w:val="18"/>
        </w:numPr>
      </w:pPr>
      <w:r w:rsidRPr="003F57A1">
        <w:rPr>
          <w:b/>
          <w:bCs/>
        </w:rPr>
        <w:t>Automated Remediation</w:t>
      </w:r>
      <w:r w:rsidRPr="003F57A1">
        <w:t>: The platform should include automated remediation features to address common incidents without manual intervention, reducing response time and ensuring that minor issues do not escalate into larger problems. This can include automated system restarts, service reroutes, or patch deployments.</w:t>
      </w:r>
      <w:r w:rsidR="00F5149F">
        <w:br/>
      </w:r>
    </w:p>
    <w:p w14:paraId="7E212574" w14:textId="7AEF28C9" w:rsidR="003F57A1" w:rsidRPr="003F57A1" w:rsidRDefault="003F57A1" w:rsidP="00332ECF">
      <w:pPr>
        <w:pStyle w:val="Heading3"/>
      </w:pPr>
      <w:bookmarkStart w:id="22" w:name="_Toc191893480"/>
      <w:r w:rsidRPr="003F57A1">
        <w:lastRenderedPageBreak/>
        <w:t>10.3 Additional Functionalities</w:t>
      </w:r>
      <w:bookmarkEnd w:id="22"/>
      <w:r w:rsidR="00F5149F">
        <w:br/>
      </w:r>
    </w:p>
    <w:p w14:paraId="58A6CCAC" w14:textId="77777777" w:rsidR="003F57A1" w:rsidRPr="003F57A1" w:rsidRDefault="003F57A1">
      <w:pPr>
        <w:numPr>
          <w:ilvl w:val="0"/>
          <w:numId w:val="19"/>
        </w:numPr>
      </w:pPr>
      <w:r w:rsidRPr="003F57A1">
        <w:rPr>
          <w:b/>
          <w:bCs/>
        </w:rPr>
        <w:t>User and Role-Based Access Control</w:t>
      </w:r>
      <w:r w:rsidRPr="003F57A1">
        <w:t>: The platform must allow for role-based access control (RBAC), ensuring that sensitive information is only accessible to authorized personnel. This is essential for maintaining confidentiality and security within the monitoring system.</w:t>
      </w:r>
    </w:p>
    <w:p w14:paraId="1206D44E" w14:textId="77777777" w:rsidR="003F57A1" w:rsidRPr="003F57A1" w:rsidRDefault="003F57A1">
      <w:pPr>
        <w:numPr>
          <w:ilvl w:val="0"/>
          <w:numId w:val="19"/>
        </w:numPr>
      </w:pPr>
      <w:r w:rsidRPr="003F57A1">
        <w:rPr>
          <w:b/>
          <w:bCs/>
        </w:rPr>
        <w:t>Service Dependency Mapping</w:t>
      </w:r>
      <w:r w:rsidRPr="003F57A1">
        <w:t>: The system should automatically discover and map service dependencies across the IT infrastructure. This mapping helps to understand how components interact and provides insights into the potential impact of incidents on business operations.</w:t>
      </w:r>
    </w:p>
    <w:p w14:paraId="2B0B6471" w14:textId="77777777" w:rsidR="003F57A1" w:rsidRPr="003F57A1" w:rsidRDefault="003F57A1">
      <w:pPr>
        <w:numPr>
          <w:ilvl w:val="0"/>
          <w:numId w:val="19"/>
        </w:numPr>
      </w:pPr>
      <w:r w:rsidRPr="003F57A1">
        <w:rPr>
          <w:b/>
          <w:bCs/>
        </w:rPr>
        <w:t>Automated Workflow Management</w:t>
      </w:r>
      <w:r w:rsidRPr="003F57A1">
        <w:t>: The platform should support automated workflows for incident escalation, ticketing, and reporting. This streamlines the incident management process and ensures a faster, more efficient resolution.</w:t>
      </w:r>
    </w:p>
    <w:p w14:paraId="6F190E0D" w14:textId="77777777" w:rsidR="003F57A1" w:rsidRPr="003F57A1" w:rsidRDefault="003F57A1">
      <w:pPr>
        <w:numPr>
          <w:ilvl w:val="0"/>
          <w:numId w:val="19"/>
        </w:numPr>
      </w:pPr>
      <w:r w:rsidRPr="003F57A1">
        <w:rPr>
          <w:b/>
          <w:bCs/>
        </w:rPr>
        <w:t>Cloud and Hybrid Deployment Support</w:t>
      </w:r>
      <w:r w:rsidRPr="003F57A1">
        <w:t>: The platform should support hybrid and multi-cloud environments, enabling LRC to monitor on-premises, private cloud, and public cloud systems from a single dashboard.</w:t>
      </w:r>
    </w:p>
    <w:p w14:paraId="2F3D021C" w14:textId="77777777" w:rsidR="003F57A1" w:rsidRPr="003F57A1" w:rsidRDefault="003F57A1">
      <w:pPr>
        <w:numPr>
          <w:ilvl w:val="0"/>
          <w:numId w:val="19"/>
        </w:numPr>
      </w:pPr>
      <w:r w:rsidRPr="003F57A1">
        <w:rPr>
          <w:b/>
          <w:bCs/>
        </w:rPr>
        <w:t>Data Security and Privacy</w:t>
      </w:r>
      <w:r w:rsidRPr="003F57A1">
        <w:t>: All data transmitted and stored within the monitoring platform must be encrypted using the highest industry standards (e.g., AES-256). It should also comply with all relevant data protection regulations (e.g., GDPR, HIPAA).</w:t>
      </w:r>
    </w:p>
    <w:p w14:paraId="5286A98A" w14:textId="77777777" w:rsidR="003F57A1" w:rsidRPr="003F57A1" w:rsidRDefault="003F57A1">
      <w:pPr>
        <w:numPr>
          <w:ilvl w:val="0"/>
          <w:numId w:val="19"/>
        </w:numPr>
      </w:pPr>
      <w:r w:rsidRPr="003F57A1">
        <w:rPr>
          <w:b/>
          <w:bCs/>
        </w:rPr>
        <w:t>Custom Reporting</w:t>
      </w:r>
      <w:r w:rsidRPr="003F57A1">
        <w:t>: The platform should provide customizable reports that can be tailored to meet LRC’s operational needs. This includes generating reports for management reviews, compliance audits, and detailed incident analysis.</w:t>
      </w:r>
    </w:p>
    <w:p w14:paraId="1322E3E9" w14:textId="43FC92EB" w:rsidR="003F57A1" w:rsidRPr="003F57A1" w:rsidRDefault="003F57A1">
      <w:pPr>
        <w:numPr>
          <w:ilvl w:val="0"/>
          <w:numId w:val="19"/>
        </w:numPr>
      </w:pPr>
      <w:r w:rsidRPr="003F57A1">
        <w:rPr>
          <w:b/>
          <w:bCs/>
        </w:rPr>
        <w:t>Integration with Threat Intelligence</w:t>
      </w:r>
      <w:r w:rsidRPr="003F57A1">
        <w:t>: The platform should integrate with threat intelligence services to provide real-time alerts about new or evolving threats that may impact LRC’s IT infrastructure. This integration enhances LRC’s ability to proactively defend against cyber-attacks.</w:t>
      </w:r>
      <w:r w:rsidR="00F5149F">
        <w:br/>
      </w:r>
    </w:p>
    <w:p w14:paraId="3C8E0DC7" w14:textId="416B963B" w:rsidR="003F57A1" w:rsidRPr="003F57A1" w:rsidRDefault="003F57A1" w:rsidP="003F57A1"/>
    <w:p w14:paraId="30B3649C" w14:textId="4B9D0A6D" w:rsidR="003F57A1" w:rsidRPr="003F57A1" w:rsidRDefault="003F57A1" w:rsidP="00332ECF">
      <w:pPr>
        <w:pStyle w:val="Heading3"/>
      </w:pPr>
      <w:bookmarkStart w:id="23" w:name="_Toc191893481"/>
      <w:r w:rsidRPr="003F57A1">
        <w:t>10.4 Vendor Support and Platform Scalability</w:t>
      </w:r>
      <w:bookmarkEnd w:id="23"/>
      <w:r w:rsidR="00F5149F">
        <w:br/>
      </w:r>
    </w:p>
    <w:p w14:paraId="6D277BED" w14:textId="77777777" w:rsidR="003F57A1" w:rsidRPr="003F57A1" w:rsidRDefault="003F57A1">
      <w:pPr>
        <w:numPr>
          <w:ilvl w:val="0"/>
          <w:numId w:val="20"/>
        </w:numPr>
      </w:pPr>
      <w:r w:rsidRPr="003F57A1">
        <w:rPr>
          <w:b/>
          <w:bCs/>
        </w:rPr>
        <w:t>Scalability</w:t>
      </w:r>
      <w:r w:rsidRPr="003F57A1">
        <w:t>: The platform should be highly scalable, capable of accommodating future expansion as LRC’s network grows. This includes the ability to easily add new sites, devices, and systems without major overhauls.</w:t>
      </w:r>
    </w:p>
    <w:p w14:paraId="1ECA2956" w14:textId="62A5D542" w:rsidR="003F57A1" w:rsidRPr="003F57A1" w:rsidRDefault="003F57A1">
      <w:pPr>
        <w:numPr>
          <w:ilvl w:val="0"/>
          <w:numId w:val="20"/>
        </w:numPr>
      </w:pPr>
      <w:r w:rsidRPr="003F57A1">
        <w:rPr>
          <w:b/>
          <w:bCs/>
        </w:rPr>
        <w:t>Vendor Support</w:t>
      </w:r>
      <w:r w:rsidRPr="003F57A1">
        <w:t>: The vendor must offer 24/7 support for the monitoring platform, including troubleshooting, updates, and patches. The support team should have deep expertise in the platform and be able to provide quick resolutions to issues that may arise.</w:t>
      </w:r>
      <w:r w:rsidR="00F5149F">
        <w:br/>
      </w:r>
    </w:p>
    <w:p w14:paraId="17FB21E4" w14:textId="4849FB46" w:rsidR="00E42B40" w:rsidRPr="00E42B40" w:rsidRDefault="00E42B40" w:rsidP="00332ECF">
      <w:pPr>
        <w:pStyle w:val="Heading3"/>
      </w:pPr>
      <w:bookmarkStart w:id="24" w:name="_Toc191893482"/>
      <w:r w:rsidRPr="00E42B40">
        <w:t>11. Reports and Dashboards</w:t>
      </w:r>
      <w:bookmarkEnd w:id="24"/>
      <w:r w:rsidR="00F5149F">
        <w:br/>
      </w:r>
    </w:p>
    <w:p w14:paraId="184FDE27" w14:textId="6E844BC9" w:rsidR="00E42B40" w:rsidRPr="00E42B40" w:rsidRDefault="00E42B40" w:rsidP="00E42B40">
      <w:r w:rsidRPr="00E42B40">
        <w:t>As part of the managed services, the vendor is required to deliver a variety of reports and dashboards that will provide LRC with real-time insights, historical data, and actionable intelligence to manage its IT operations, security posture, and compliance efforts. These reports should be available through automated generation or on-demand requests, with clear visualization of key metrics.</w:t>
      </w:r>
      <w:r w:rsidR="00F5149F">
        <w:br/>
      </w:r>
    </w:p>
    <w:p w14:paraId="4B0A4C18" w14:textId="626178AE" w:rsidR="00E42B40" w:rsidRPr="00E42B40" w:rsidRDefault="00E42B40" w:rsidP="00332ECF">
      <w:pPr>
        <w:pStyle w:val="Heading3"/>
      </w:pPr>
      <w:bookmarkStart w:id="25" w:name="_Toc191893483"/>
      <w:r w:rsidRPr="00E42B40">
        <w:lastRenderedPageBreak/>
        <w:t>11.1 Types of Reports</w:t>
      </w:r>
      <w:bookmarkEnd w:id="25"/>
      <w:r w:rsidR="00F5149F">
        <w:br/>
      </w:r>
    </w:p>
    <w:p w14:paraId="65160AF6" w14:textId="505F9D07" w:rsidR="00E42B40" w:rsidRPr="00E42B40" w:rsidRDefault="00E42B40" w:rsidP="00332ECF">
      <w:pPr>
        <w:pStyle w:val="Heading3"/>
      </w:pPr>
      <w:bookmarkStart w:id="26" w:name="_Toc191893484"/>
      <w:r w:rsidRPr="00E42B40">
        <w:t>11.1.1 Incident Management Reports</w:t>
      </w:r>
      <w:bookmarkEnd w:id="26"/>
      <w:r w:rsidR="00F5149F">
        <w:br/>
      </w:r>
    </w:p>
    <w:p w14:paraId="19AF5BD5" w14:textId="77777777" w:rsidR="00E42B40" w:rsidRPr="00E42B40" w:rsidRDefault="00E42B40">
      <w:pPr>
        <w:numPr>
          <w:ilvl w:val="0"/>
          <w:numId w:val="21"/>
        </w:numPr>
      </w:pPr>
      <w:r w:rsidRPr="00E42B40">
        <w:rPr>
          <w:b/>
          <w:bCs/>
        </w:rPr>
        <w:t>Incident Summary Report</w:t>
      </w:r>
      <w:r w:rsidRPr="00E42B40">
        <w:t>: A high-level report summarizing all incidents (security breaches, network issues, hardware failures, etc.) during a specified period. This report should include:</w:t>
      </w:r>
    </w:p>
    <w:p w14:paraId="7762B365" w14:textId="77777777" w:rsidR="00E42B40" w:rsidRPr="00E42B40" w:rsidRDefault="00E42B40">
      <w:pPr>
        <w:numPr>
          <w:ilvl w:val="1"/>
          <w:numId w:val="21"/>
        </w:numPr>
      </w:pPr>
      <w:r w:rsidRPr="00E42B40">
        <w:t>Number of incidents by severity (critical, high, medium, low)</w:t>
      </w:r>
    </w:p>
    <w:p w14:paraId="208932AA" w14:textId="77777777" w:rsidR="00E42B40" w:rsidRPr="00E42B40" w:rsidRDefault="00E42B40">
      <w:pPr>
        <w:numPr>
          <w:ilvl w:val="1"/>
          <w:numId w:val="21"/>
        </w:numPr>
      </w:pPr>
      <w:r w:rsidRPr="00E42B40">
        <w:t>Incident resolution times (average, by severity)</w:t>
      </w:r>
    </w:p>
    <w:p w14:paraId="4A6958BB" w14:textId="77777777" w:rsidR="00E42B40" w:rsidRPr="00E42B40" w:rsidRDefault="00E42B40">
      <w:pPr>
        <w:numPr>
          <w:ilvl w:val="1"/>
          <w:numId w:val="21"/>
        </w:numPr>
      </w:pPr>
      <w:r w:rsidRPr="00E42B40">
        <w:t>Incident response times (average, by severity)</w:t>
      </w:r>
    </w:p>
    <w:p w14:paraId="467DE7E2" w14:textId="77777777" w:rsidR="00E42B40" w:rsidRPr="00E42B40" w:rsidRDefault="00E42B40">
      <w:pPr>
        <w:numPr>
          <w:ilvl w:val="1"/>
          <w:numId w:val="21"/>
        </w:numPr>
      </w:pPr>
      <w:r w:rsidRPr="00E42B40">
        <w:t>Incident escalation rates</w:t>
      </w:r>
    </w:p>
    <w:p w14:paraId="67359CCB" w14:textId="77777777" w:rsidR="00E42B40" w:rsidRPr="00E42B40" w:rsidRDefault="00E42B40">
      <w:pPr>
        <w:numPr>
          <w:ilvl w:val="1"/>
          <w:numId w:val="21"/>
        </w:numPr>
      </w:pPr>
      <w:r w:rsidRPr="00E42B40">
        <w:t>Root cause analysis summary</w:t>
      </w:r>
    </w:p>
    <w:p w14:paraId="0ECD13D5" w14:textId="77777777" w:rsidR="00E42B40" w:rsidRPr="00E42B40" w:rsidRDefault="00E42B40">
      <w:pPr>
        <w:numPr>
          <w:ilvl w:val="0"/>
          <w:numId w:val="21"/>
        </w:numPr>
      </w:pPr>
      <w:r w:rsidRPr="00E42B40">
        <w:rPr>
          <w:b/>
          <w:bCs/>
        </w:rPr>
        <w:t>Incident Details Report</w:t>
      </w:r>
      <w:r w:rsidRPr="00E42B40">
        <w:t>: A detailed report for each incident, including:</w:t>
      </w:r>
    </w:p>
    <w:p w14:paraId="6C7E7E0F" w14:textId="77777777" w:rsidR="00E42B40" w:rsidRPr="00E42B40" w:rsidRDefault="00E42B40">
      <w:pPr>
        <w:numPr>
          <w:ilvl w:val="1"/>
          <w:numId w:val="21"/>
        </w:numPr>
      </w:pPr>
      <w:r w:rsidRPr="00E42B40">
        <w:t>Incident type and description</w:t>
      </w:r>
    </w:p>
    <w:p w14:paraId="4BB701AE" w14:textId="77777777" w:rsidR="00E42B40" w:rsidRPr="00E42B40" w:rsidRDefault="00E42B40">
      <w:pPr>
        <w:numPr>
          <w:ilvl w:val="1"/>
          <w:numId w:val="21"/>
        </w:numPr>
      </w:pPr>
      <w:r w:rsidRPr="00E42B40">
        <w:t>Affected systems or services</w:t>
      </w:r>
    </w:p>
    <w:p w14:paraId="46C85058" w14:textId="77777777" w:rsidR="00E42B40" w:rsidRPr="00E42B40" w:rsidRDefault="00E42B40">
      <w:pPr>
        <w:numPr>
          <w:ilvl w:val="1"/>
          <w:numId w:val="21"/>
        </w:numPr>
      </w:pPr>
      <w:r w:rsidRPr="00E42B40">
        <w:t>Resolution steps taken</w:t>
      </w:r>
    </w:p>
    <w:p w14:paraId="0DBF1B89" w14:textId="77777777" w:rsidR="00E42B40" w:rsidRPr="00E42B40" w:rsidRDefault="00E42B40">
      <w:pPr>
        <w:numPr>
          <w:ilvl w:val="1"/>
          <w:numId w:val="21"/>
        </w:numPr>
      </w:pPr>
      <w:r w:rsidRPr="00E42B40">
        <w:t>Incident resolution time</w:t>
      </w:r>
    </w:p>
    <w:p w14:paraId="779008E5" w14:textId="77777777" w:rsidR="00E42B40" w:rsidRPr="00E42B40" w:rsidRDefault="00E42B40">
      <w:pPr>
        <w:numPr>
          <w:ilvl w:val="1"/>
          <w:numId w:val="21"/>
        </w:numPr>
      </w:pPr>
      <w:r w:rsidRPr="00E42B40">
        <w:t>Lessons learned and preventive measures</w:t>
      </w:r>
    </w:p>
    <w:p w14:paraId="6BB226E2" w14:textId="7F17EC02" w:rsidR="00E42B40" w:rsidRPr="00E42B40" w:rsidRDefault="00E42B40">
      <w:pPr>
        <w:numPr>
          <w:ilvl w:val="0"/>
          <w:numId w:val="21"/>
        </w:numPr>
      </w:pPr>
      <w:r w:rsidRPr="00E42B40">
        <w:rPr>
          <w:b/>
          <w:bCs/>
        </w:rPr>
        <w:t>Incident Response Times Report</w:t>
      </w:r>
      <w:r w:rsidRPr="00E42B40">
        <w:t>: This report should analyze the time taken to detect, respond to, and resolve incidents, comparing it against predefined SLA targets.</w:t>
      </w:r>
      <w:r w:rsidR="00F5149F">
        <w:br/>
      </w:r>
    </w:p>
    <w:p w14:paraId="2C8AA94F" w14:textId="7B6CAB14" w:rsidR="00E42B40" w:rsidRPr="00E42B40" w:rsidRDefault="00E42B40" w:rsidP="00332ECF">
      <w:pPr>
        <w:pStyle w:val="Heading3"/>
      </w:pPr>
      <w:bookmarkStart w:id="27" w:name="_Toc191893485"/>
      <w:r w:rsidRPr="00E42B40">
        <w:t>11.1.2 Performance and Availability Reports</w:t>
      </w:r>
      <w:bookmarkEnd w:id="27"/>
      <w:r w:rsidR="00F5149F">
        <w:br/>
      </w:r>
    </w:p>
    <w:p w14:paraId="5E8E0341" w14:textId="77777777" w:rsidR="00E42B40" w:rsidRPr="00E42B40" w:rsidRDefault="00E42B40">
      <w:pPr>
        <w:numPr>
          <w:ilvl w:val="0"/>
          <w:numId w:val="22"/>
        </w:numPr>
      </w:pPr>
      <w:r w:rsidRPr="00E42B40">
        <w:rPr>
          <w:b/>
          <w:bCs/>
        </w:rPr>
        <w:t>Network Performance Report</w:t>
      </w:r>
      <w:r w:rsidRPr="00E42B40">
        <w:t>: A report detailing the performance of the network, including:</w:t>
      </w:r>
    </w:p>
    <w:p w14:paraId="091FC05D" w14:textId="77777777" w:rsidR="00E42B40" w:rsidRPr="00E42B40" w:rsidRDefault="00E42B40">
      <w:pPr>
        <w:numPr>
          <w:ilvl w:val="1"/>
          <w:numId w:val="22"/>
        </w:numPr>
      </w:pPr>
      <w:r w:rsidRPr="00E42B40">
        <w:t>Bandwidth utilization</w:t>
      </w:r>
    </w:p>
    <w:p w14:paraId="22236AE8" w14:textId="77777777" w:rsidR="00E42B40" w:rsidRPr="00E42B40" w:rsidRDefault="00E42B40">
      <w:pPr>
        <w:numPr>
          <w:ilvl w:val="1"/>
          <w:numId w:val="22"/>
        </w:numPr>
      </w:pPr>
      <w:r w:rsidRPr="00E42B40">
        <w:t>Latency and packet loss</w:t>
      </w:r>
    </w:p>
    <w:p w14:paraId="43C905D2" w14:textId="77777777" w:rsidR="00E42B40" w:rsidRPr="00E42B40" w:rsidRDefault="00E42B40">
      <w:pPr>
        <w:numPr>
          <w:ilvl w:val="1"/>
          <w:numId w:val="22"/>
        </w:numPr>
      </w:pPr>
      <w:r w:rsidRPr="00E42B40">
        <w:t>Network device uptime and availability</w:t>
      </w:r>
    </w:p>
    <w:p w14:paraId="11F12454" w14:textId="77777777" w:rsidR="00E42B40" w:rsidRPr="00E42B40" w:rsidRDefault="00E42B40">
      <w:pPr>
        <w:numPr>
          <w:ilvl w:val="1"/>
          <w:numId w:val="22"/>
        </w:numPr>
      </w:pPr>
      <w:r w:rsidRPr="00E42B40">
        <w:t>Traffic flow analysis</w:t>
      </w:r>
    </w:p>
    <w:p w14:paraId="6B0B7897" w14:textId="77777777" w:rsidR="00E42B40" w:rsidRPr="00E42B40" w:rsidRDefault="00E42B40">
      <w:pPr>
        <w:numPr>
          <w:ilvl w:val="0"/>
          <w:numId w:val="22"/>
        </w:numPr>
      </w:pPr>
      <w:r w:rsidRPr="00E42B40">
        <w:rPr>
          <w:b/>
          <w:bCs/>
        </w:rPr>
        <w:t>Server Performance Report</w:t>
      </w:r>
      <w:r w:rsidRPr="00E42B40">
        <w:t>: This includes performance metrics for physical and virtual servers, such as:</w:t>
      </w:r>
    </w:p>
    <w:p w14:paraId="321E1D09" w14:textId="77777777" w:rsidR="00E42B40" w:rsidRPr="00E42B40" w:rsidRDefault="00E42B40">
      <w:pPr>
        <w:numPr>
          <w:ilvl w:val="1"/>
          <w:numId w:val="22"/>
        </w:numPr>
      </w:pPr>
      <w:r w:rsidRPr="00E42B40">
        <w:t>CPU and memory usage</w:t>
      </w:r>
    </w:p>
    <w:p w14:paraId="484CB690" w14:textId="77777777" w:rsidR="00E42B40" w:rsidRPr="00E42B40" w:rsidRDefault="00E42B40">
      <w:pPr>
        <w:numPr>
          <w:ilvl w:val="1"/>
          <w:numId w:val="22"/>
        </w:numPr>
      </w:pPr>
      <w:r w:rsidRPr="00E42B40">
        <w:t>Disk space utilization</w:t>
      </w:r>
    </w:p>
    <w:p w14:paraId="4204996A" w14:textId="77777777" w:rsidR="00E42B40" w:rsidRPr="00E42B40" w:rsidRDefault="00E42B40">
      <w:pPr>
        <w:numPr>
          <w:ilvl w:val="1"/>
          <w:numId w:val="22"/>
        </w:numPr>
      </w:pPr>
      <w:r w:rsidRPr="00E42B40">
        <w:t>Load balancing efficiency</w:t>
      </w:r>
    </w:p>
    <w:p w14:paraId="457E4EF3" w14:textId="77777777" w:rsidR="00E42B40" w:rsidRPr="00E42B40" w:rsidRDefault="00E42B40">
      <w:pPr>
        <w:numPr>
          <w:ilvl w:val="1"/>
          <w:numId w:val="22"/>
        </w:numPr>
      </w:pPr>
      <w:r w:rsidRPr="00E42B40">
        <w:t>System uptime</w:t>
      </w:r>
    </w:p>
    <w:p w14:paraId="19A79925" w14:textId="77777777" w:rsidR="00E42B40" w:rsidRPr="00E42B40" w:rsidRDefault="00E42B40">
      <w:pPr>
        <w:numPr>
          <w:ilvl w:val="0"/>
          <w:numId w:val="22"/>
        </w:numPr>
      </w:pPr>
      <w:r w:rsidRPr="00E42B40">
        <w:rPr>
          <w:b/>
          <w:bCs/>
        </w:rPr>
        <w:t>Service Availability Report</w:t>
      </w:r>
      <w:r w:rsidRPr="00E42B40">
        <w:t>: A report showing the availability of critical systems and services, highlighting any downtime incidents or service interruptions.</w:t>
      </w:r>
    </w:p>
    <w:p w14:paraId="4DAAE440" w14:textId="77777777" w:rsidR="00E42B40" w:rsidRPr="00E42B40" w:rsidRDefault="00E42B40">
      <w:pPr>
        <w:numPr>
          <w:ilvl w:val="0"/>
          <w:numId w:val="22"/>
        </w:numPr>
      </w:pPr>
      <w:r w:rsidRPr="00E42B40">
        <w:rPr>
          <w:b/>
          <w:bCs/>
        </w:rPr>
        <w:t>Capacity Utilization Report</w:t>
      </w:r>
      <w:r w:rsidRPr="00E42B40">
        <w:t>: A report assessing current capacity against the forecasted capacity needs. It should include:</w:t>
      </w:r>
    </w:p>
    <w:p w14:paraId="300353DA" w14:textId="77777777" w:rsidR="00E42B40" w:rsidRPr="00E42B40" w:rsidRDefault="00E42B40">
      <w:pPr>
        <w:numPr>
          <w:ilvl w:val="1"/>
          <w:numId w:val="22"/>
        </w:numPr>
      </w:pPr>
      <w:r w:rsidRPr="00E42B40">
        <w:t>Current and forecasted resource consumption (network, server, storage)</w:t>
      </w:r>
    </w:p>
    <w:p w14:paraId="0AB49B8E" w14:textId="77777777" w:rsidR="00E42B40" w:rsidRPr="00E42B40" w:rsidRDefault="00E42B40">
      <w:pPr>
        <w:numPr>
          <w:ilvl w:val="1"/>
          <w:numId w:val="22"/>
        </w:numPr>
      </w:pPr>
      <w:r w:rsidRPr="00E42B40">
        <w:t>Trends and patterns of usage</w:t>
      </w:r>
    </w:p>
    <w:p w14:paraId="4DC04364" w14:textId="12EC1ED8" w:rsidR="00E42B40" w:rsidRPr="00E42B40" w:rsidRDefault="00E42B40">
      <w:pPr>
        <w:numPr>
          <w:ilvl w:val="1"/>
          <w:numId w:val="22"/>
        </w:numPr>
      </w:pPr>
      <w:r w:rsidRPr="00E42B40">
        <w:t>Resource planning and optimization suggestions</w:t>
      </w:r>
      <w:r w:rsidR="00F5149F">
        <w:br/>
      </w:r>
    </w:p>
    <w:p w14:paraId="63E644FE" w14:textId="0768129F" w:rsidR="00E42B40" w:rsidRPr="00E42B40" w:rsidRDefault="00E42B40" w:rsidP="00332ECF">
      <w:pPr>
        <w:pStyle w:val="Heading3"/>
      </w:pPr>
      <w:bookmarkStart w:id="28" w:name="_Toc191893486"/>
      <w:r w:rsidRPr="00E42B40">
        <w:t>11.1.3 Security and Compliance Reports</w:t>
      </w:r>
      <w:bookmarkEnd w:id="28"/>
      <w:r w:rsidR="00F5149F">
        <w:br/>
      </w:r>
    </w:p>
    <w:p w14:paraId="13F1B32C" w14:textId="77777777" w:rsidR="00E42B40" w:rsidRPr="00E42B40" w:rsidRDefault="00E42B40">
      <w:pPr>
        <w:numPr>
          <w:ilvl w:val="0"/>
          <w:numId w:val="23"/>
        </w:numPr>
      </w:pPr>
      <w:r w:rsidRPr="00E42B40">
        <w:rPr>
          <w:b/>
          <w:bCs/>
        </w:rPr>
        <w:t>Security Events and Alerts Report</w:t>
      </w:r>
      <w:r w:rsidRPr="00E42B40">
        <w:t>: A detailed report that includes:</w:t>
      </w:r>
    </w:p>
    <w:p w14:paraId="3A734BDE" w14:textId="77777777" w:rsidR="00E42B40" w:rsidRPr="00E42B40" w:rsidRDefault="00E42B40">
      <w:pPr>
        <w:numPr>
          <w:ilvl w:val="1"/>
          <w:numId w:val="23"/>
        </w:numPr>
      </w:pPr>
      <w:r w:rsidRPr="00E42B40">
        <w:t>Number of security events detected (based on SIEM data)</w:t>
      </w:r>
    </w:p>
    <w:p w14:paraId="743255EB" w14:textId="77777777" w:rsidR="00E42B40" w:rsidRPr="00E42B40" w:rsidRDefault="00E42B40">
      <w:pPr>
        <w:numPr>
          <w:ilvl w:val="1"/>
          <w:numId w:val="23"/>
        </w:numPr>
      </w:pPr>
      <w:r w:rsidRPr="00E42B40">
        <w:t>Severity and type of each event (e.g., intrusion attempts, malware detection)</w:t>
      </w:r>
    </w:p>
    <w:p w14:paraId="4A170325" w14:textId="77777777" w:rsidR="00E42B40" w:rsidRPr="00E42B40" w:rsidRDefault="00E42B40">
      <w:pPr>
        <w:numPr>
          <w:ilvl w:val="1"/>
          <w:numId w:val="23"/>
        </w:numPr>
      </w:pPr>
      <w:r w:rsidRPr="00E42B40">
        <w:t>Response actions taken and remediation details</w:t>
      </w:r>
    </w:p>
    <w:p w14:paraId="6FE07622" w14:textId="77777777" w:rsidR="00E42B40" w:rsidRPr="00E42B40" w:rsidRDefault="00E42B40">
      <w:pPr>
        <w:numPr>
          <w:ilvl w:val="1"/>
          <w:numId w:val="23"/>
        </w:numPr>
      </w:pPr>
      <w:r w:rsidRPr="00E42B40">
        <w:lastRenderedPageBreak/>
        <w:t>Historical trend analysis of security events</w:t>
      </w:r>
    </w:p>
    <w:p w14:paraId="1120F270" w14:textId="77777777" w:rsidR="00E42B40" w:rsidRPr="00E42B40" w:rsidRDefault="00E42B40">
      <w:pPr>
        <w:numPr>
          <w:ilvl w:val="0"/>
          <w:numId w:val="23"/>
        </w:numPr>
      </w:pPr>
      <w:r w:rsidRPr="00E42B40">
        <w:rPr>
          <w:b/>
          <w:bCs/>
        </w:rPr>
        <w:t>Compliance Audit Report</w:t>
      </w:r>
      <w:r w:rsidRPr="00E42B40">
        <w:t>: This report will include:</w:t>
      </w:r>
    </w:p>
    <w:p w14:paraId="38015E5F" w14:textId="77777777" w:rsidR="00E42B40" w:rsidRPr="00E42B40" w:rsidRDefault="00E42B40">
      <w:pPr>
        <w:numPr>
          <w:ilvl w:val="1"/>
          <w:numId w:val="23"/>
        </w:numPr>
      </w:pPr>
      <w:r w:rsidRPr="00E42B40">
        <w:t>Compliance status with regulatory frameworks such as ISO 27001, GDPR, HIPAA, etc.</w:t>
      </w:r>
    </w:p>
    <w:p w14:paraId="278E3862" w14:textId="77777777" w:rsidR="00E42B40" w:rsidRPr="00E42B40" w:rsidRDefault="00E42B40">
      <w:pPr>
        <w:numPr>
          <w:ilvl w:val="1"/>
          <w:numId w:val="23"/>
        </w:numPr>
      </w:pPr>
      <w:r w:rsidRPr="00E42B40">
        <w:t>Results of any internal or external audits</w:t>
      </w:r>
    </w:p>
    <w:p w14:paraId="1615C139" w14:textId="77777777" w:rsidR="00E42B40" w:rsidRPr="00E42B40" w:rsidRDefault="00E42B40">
      <w:pPr>
        <w:numPr>
          <w:ilvl w:val="1"/>
          <w:numId w:val="23"/>
        </w:numPr>
      </w:pPr>
      <w:r w:rsidRPr="00E42B40">
        <w:t>Actionable items for maintaining or improving compliance</w:t>
      </w:r>
    </w:p>
    <w:p w14:paraId="5BA27555" w14:textId="77777777" w:rsidR="00E42B40" w:rsidRPr="00E42B40" w:rsidRDefault="00E42B40">
      <w:pPr>
        <w:numPr>
          <w:ilvl w:val="1"/>
          <w:numId w:val="23"/>
        </w:numPr>
      </w:pPr>
      <w:r w:rsidRPr="00E42B40">
        <w:t>Timeline for compliance remediation and improvements</w:t>
      </w:r>
    </w:p>
    <w:p w14:paraId="027C1E9E" w14:textId="77777777" w:rsidR="00E42B40" w:rsidRPr="00E42B40" w:rsidRDefault="00E42B40">
      <w:pPr>
        <w:numPr>
          <w:ilvl w:val="0"/>
          <w:numId w:val="23"/>
        </w:numPr>
      </w:pPr>
      <w:r w:rsidRPr="00E42B40">
        <w:rPr>
          <w:b/>
          <w:bCs/>
        </w:rPr>
        <w:t>Vulnerability and Patch Management Report</w:t>
      </w:r>
      <w:r w:rsidRPr="00E42B40">
        <w:t>: This report will track the current vulnerability status across the infrastructure, including:</w:t>
      </w:r>
    </w:p>
    <w:p w14:paraId="6EAF339D" w14:textId="77777777" w:rsidR="00E42B40" w:rsidRPr="00E42B40" w:rsidRDefault="00E42B40">
      <w:pPr>
        <w:numPr>
          <w:ilvl w:val="1"/>
          <w:numId w:val="23"/>
        </w:numPr>
      </w:pPr>
      <w:r w:rsidRPr="00E42B40">
        <w:t>Vulnerabilities identified (CVEs)</w:t>
      </w:r>
    </w:p>
    <w:p w14:paraId="525C1249" w14:textId="77777777" w:rsidR="00E42B40" w:rsidRPr="00E42B40" w:rsidRDefault="00E42B40">
      <w:pPr>
        <w:numPr>
          <w:ilvl w:val="1"/>
          <w:numId w:val="23"/>
        </w:numPr>
      </w:pPr>
      <w:r w:rsidRPr="00E42B40">
        <w:t>Patching status and remediation</w:t>
      </w:r>
    </w:p>
    <w:p w14:paraId="31365BDA" w14:textId="77777777" w:rsidR="00E42B40" w:rsidRPr="00E42B40" w:rsidRDefault="00E42B40">
      <w:pPr>
        <w:numPr>
          <w:ilvl w:val="1"/>
          <w:numId w:val="23"/>
        </w:numPr>
      </w:pPr>
      <w:r w:rsidRPr="00E42B40">
        <w:t>Criticality and impact assessment</w:t>
      </w:r>
    </w:p>
    <w:p w14:paraId="0D6E922A" w14:textId="77777777" w:rsidR="00E42B40" w:rsidRPr="00E42B40" w:rsidRDefault="00E42B40">
      <w:pPr>
        <w:numPr>
          <w:ilvl w:val="1"/>
          <w:numId w:val="23"/>
        </w:numPr>
      </w:pPr>
      <w:r w:rsidRPr="00E42B40">
        <w:t>Historical vulnerability trends</w:t>
      </w:r>
    </w:p>
    <w:p w14:paraId="65EA122C" w14:textId="77777777" w:rsidR="00E42B40" w:rsidRPr="00E42B40" w:rsidRDefault="00E42B40">
      <w:pPr>
        <w:numPr>
          <w:ilvl w:val="0"/>
          <w:numId w:val="23"/>
        </w:numPr>
      </w:pPr>
      <w:r w:rsidRPr="00E42B40">
        <w:rPr>
          <w:b/>
          <w:bCs/>
        </w:rPr>
        <w:t>Threat Intelligence Report</w:t>
      </w:r>
      <w:r w:rsidRPr="00E42B40">
        <w:t>: A comprehensive report that analyzes threat intelligence feeds and correlates them with LRC’s security posture. It should include:</w:t>
      </w:r>
    </w:p>
    <w:p w14:paraId="5FC815AC" w14:textId="77777777" w:rsidR="00E42B40" w:rsidRPr="00E42B40" w:rsidRDefault="00E42B40">
      <w:pPr>
        <w:numPr>
          <w:ilvl w:val="1"/>
          <w:numId w:val="23"/>
        </w:numPr>
      </w:pPr>
      <w:r w:rsidRPr="00E42B40">
        <w:t>New and emerging threats relevant to LRC</w:t>
      </w:r>
    </w:p>
    <w:p w14:paraId="19F452B6" w14:textId="77777777" w:rsidR="00E42B40" w:rsidRPr="00E42B40" w:rsidRDefault="00E42B40">
      <w:pPr>
        <w:numPr>
          <w:ilvl w:val="1"/>
          <w:numId w:val="23"/>
        </w:numPr>
      </w:pPr>
      <w:r w:rsidRPr="00E42B40">
        <w:t>Correlation between global threat intelligence and internal security events</w:t>
      </w:r>
    </w:p>
    <w:p w14:paraId="4D15C0D2" w14:textId="3E9F228C" w:rsidR="00E42B40" w:rsidRPr="00E42B40" w:rsidRDefault="00E42B40">
      <w:pPr>
        <w:numPr>
          <w:ilvl w:val="1"/>
          <w:numId w:val="23"/>
        </w:numPr>
      </w:pPr>
      <w:r w:rsidRPr="00E42B40">
        <w:t>Recommendations for proactive defense actions</w:t>
      </w:r>
      <w:r w:rsidR="00F5149F">
        <w:br/>
      </w:r>
    </w:p>
    <w:p w14:paraId="569314AD" w14:textId="7F7FAB82" w:rsidR="00E42B40" w:rsidRPr="00E42B40" w:rsidRDefault="00E42B40" w:rsidP="00332ECF">
      <w:pPr>
        <w:pStyle w:val="Heading3"/>
      </w:pPr>
      <w:bookmarkStart w:id="29" w:name="_Toc191893487"/>
      <w:r w:rsidRPr="00E42B40">
        <w:t>11.1.4 Disaster Recovery and Business Continuity Reports</w:t>
      </w:r>
      <w:bookmarkEnd w:id="29"/>
      <w:r w:rsidR="00332ECF">
        <w:br/>
      </w:r>
    </w:p>
    <w:p w14:paraId="638D0943" w14:textId="77777777" w:rsidR="00E42B40" w:rsidRPr="00E42B40" w:rsidRDefault="00E42B40">
      <w:pPr>
        <w:numPr>
          <w:ilvl w:val="0"/>
          <w:numId w:val="24"/>
        </w:numPr>
      </w:pPr>
      <w:r w:rsidRPr="00E42B40">
        <w:rPr>
          <w:b/>
          <w:bCs/>
        </w:rPr>
        <w:t>Disaster Recovery Test Report</w:t>
      </w:r>
      <w:r w:rsidRPr="00E42B40">
        <w:t>: A report detailing the results of disaster recovery drills and tests, including:</w:t>
      </w:r>
    </w:p>
    <w:p w14:paraId="34A93611" w14:textId="77777777" w:rsidR="00E42B40" w:rsidRPr="00E42B40" w:rsidRDefault="00E42B40">
      <w:pPr>
        <w:numPr>
          <w:ilvl w:val="1"/>
          <w:numId w:val="24"/>
        </w:numPr>
      </w:pPr>
      <w:r w:rsidRPr="00E42B40">
        <w:t>Time to restore services (RTO)</w:t>
      </w:r>
    </w:p>
    <w:p w14:paraId="5A8C0523" w14:textId="77777777" w:rsidR="00E42B40" w:rsidRPr="00E42B40" w:rsidRDefault="00E42B40">
      <w:pPr>
        <w:numPr>
          <w:ilvl w:val="1"/>
          <w:numId w:val="24"/>
        </w:numPr>
      </w:pPr>
      <w:r w:rsidRPr="00E42B40">
        <w:t>Data recovery success (RPO)</w:t>
      </w:r>
    </w:p>
    <w:p w14:paraId="48ADFD2F" w14:textId="77777777" w:rsidR="00E42B40" w:rsidRPr="00E42B40" w:rsidRDefault="00E42B40">
      <w:pPr>
        <w:numPr>
          <w:ilvl w:val="1"/>
          <w:numId w:val="24"/>
        </w:numPr>
      </w:pPr>
      <w:r w:rsidRPr="00E42B40">
        <w:t>Issues encountered during recovery tests</w:t>
      </w:r>
    </w:p>
    <w:p w14:paraId="55D6DC60" w14:textId="77777777" w:rsidR="00E42B40" w:rsidRPr="00E42B40" w:rsidRDefault="00E42B40">
      <w:pPr>
        <w:numPr>
          <w:ilvl w:val="1"/>
          <w:numId w:val="24"/>
        </w:numPr>
      </w:pPr>
      <w:r w:rsidRPr="00E42B40">
        <w:t>Suggested improvements for faster recovery in actual disaster situations</w:t>
      </w:r>
    </w:p>
    <w:p w14:paraId="2ED122B9" w14:textId="77777777" w:rsidR="00E42B40" w:rsidRPr="00E42B40" w:rsidRDefault="00E42B40">
      <w:pPr>
        <w:numPr>
          <w:ilvl w:val="0"/>
          <w:numId w:val="24"/>
        </w:numPr>
      </w:pPr>
      <w:r w:rsidRPr="00E42B40">
        <w:rPr>
          <w:b/>
          <w:bCs/>
        </w:rPr>
        <w:t>Backup and Restore Report</w:t>
      </w:r>
      <w:r w:rsidRPr="00E42B40">
        <w:t>: A report on the backup status of critical systems, including:</w:t>
      </w:r>
    </w:p>
    <w:p w14:paraId="282DD080" w14:textId="77777777" w:rsidR="00E42B40" w:rsidRPr="00E42B40" w:rsidRDefault="00E42B40">
      <w:pPr>
        <w:numPr>
          <w:ilvl w:val="1"/>
          <w:numId w:val="24"/>
        </w:numPr>
      </w:pPr>
      <w:r w:rsidRPr="00E42B40">
        <w:t>Backup success rates</w:t>
      </w:r>
    </w:p>
    <w:p w14:paraId="00A4884F" w14:textId="77777777" w:rsidR="00E42B40" w:rsidRPr="00E42B40" w:rsidRDefault="00E42B40">
      <w:pPr>
        <w:numPr>
          <w:ilvl w:val="1"/>
          <w:numId w:val="24"/>
        </w:numPr>
      </w:pPr>
      <w:r w:rsidRPr="00E42B40">
        <w:t>Frequency and scope of backups</w:t>
      </w:r>
    </w:p>
    <w:p w14:paraId="430DEEF4" w14:textId="77777777" w:rsidR="00E42B40" w:rsidRPr="00E42B40" w:rsidRDefault="00E42B40">
      <w:pPr>
        <w:numPr>
          <w:ilvl w:val="1"/>
          <w:numId w:val="24"/>
        </w:numPr>
      </w:pPr>
      <w:r w:rsidRPr="00E42B40">
        <w:t>Data integrity check results</w:t>
      </w:r>
    </w:p>
    <w:p w14:paraId="0894DF96" w14:textId="5FE398A1" w:rsidR="00E42B40" w:rsidRPr="00E42B40" w:rsidRDefault="00E42B40">
      <w:pPr>
        <w:numPr>
          <w:ilvl w:val="1"/>
          <w:numId w:val="24"/>
        </w:numPr>
      </w:pPr>
      <w:r w:rsidRPr="00E42B40">
        <w:t>Time taken to restore systems and data from backups</w:t>
      </w:r>
      <w:r w:rsidR="00F5149F">
        <w:br/>
      </w:r>
    </w:p>
    <w:p w14:paraId="52522D5F" w14:textId="729D4DAB" w:rsidR="00E42B40" w:rsidRPr="00E42B40" w:rsidRDefault="00E42B40" w:rsidP="00332ECF">
      <w:pPr>
        <w:pStyle w:val="Heading3"/>
      </w:pPr>
      <w:bookmarkStart w:id="30" w:name="_Toc191893488"/>
      <w:r w:rsidRPr="00E42B40">
        <w:t>11.1.5 Environmental and Infrastructure Reports</w:t>
      </w:r>
      <w:bookmarkEnd w:id="30"/>
      <w:r w:rsidR="00332ECF">
        <w:br/>
      </w:r>
    </w:p>
    <w:p w14:paraId="35A371F9" w14:textId="77777777" w:rsidR="00E42B40" w:rsidRPr="00E42B40" w:rsidRDefault="00E42B40">
      <w:pPr>
        <w:numPr>
          <w:ilvl w:val="0"/>
          <w:numId w:val="25"/>
        </w:numPr>
      </w:pPr>
      <w:r w:rsidRPr="00E42B40">
        <w:rPr>
          <w:b/>
          <w:bCs/>
        </w:rPr>
        <w:t>Temperature and Environmental Monitoring Report</w:t>
      </w:r>
      <w:r w:rsidRPr="00E42B40">
        <w:t>: A detailed report on the status of temperature sensors, humidity levels, and other environmental factors affecting critical infrastructure. This report should include:</w:t>
      </w:r>
    </w:p>
    <w:p w14:paraId="5A583CD7" w14:textId="77777777" w:rsidR="00E42B40" w:rsidRPr="00E42B40" w:rsidRDefault="00E42B40">
      <w:pPr>
        <w:numPr>
          <w:ilvl w:val="1"/>
          <w:numId w:val="25"/>
        </w:numPr>
      </w:pPr>
      <w:r w:rsidRPr="00E42B40">
        <w:t>Any deviations from the acceptable environmental thresholds</w:t>
      </w:r>
    </w:p>
    <w:p w14:paraId="0622E6B7" w14:textId="77777777" w:rsidR="00E42B40" w:rsidRPr="00E42B40" w:rsidRDefault="00E42B40">
      <w:pPr>
        <w:numPr>
          <w:ilvl w:val="1"/>
          <w:numId w:val="25"/>
        </w:numPr>
      </w:pPr>
      <w:r w:rsidRPr="00E42B40">
        <w:t>Notifications triggered by environmental sensor anomalies</w:t>
      </w:r>
    </w:p>
    <w:p w14:paraId="03F9AF75" w14:textId="77777777" w:rsidR="00E42B40" w:rsidRPr="00E42B40" w:rsidRDefault="00E42B40">
      <w:pPr>
        <w:numPr>
          <w:ilvl w:val="1"/>
          <w:numId w:val="25"/>
        </w:numPr>
      </w:pPr>
      <w:r w:rsidRPr="00E42B40">
        <w:t>Historical data and trends on environmental conditions</w:t>
      </w:r>
    </w:p>
    <w:p w14:paraId="1CCCDF17" w14:textId="77777777" w:rsidR="00E42B40" w:rsidRPr="00E42B40" w:rsidRDefault="00E42B40">
      <w:pPr>
        <w:numPr>
          <w:ilvl w:val="0"/>
          <w:numId w:val="25"/>
        </w:numPr>
      </w:pPr>
      <w:r w:rsidRPr="00E42B40">
        <w:rPr>
          <w:b/>
          <w:bCs/>
        </w:rPr>
        <w:t>UPS Monitoring Report</w:t>
      </w:r>
      <w:r w:rsidRPr="00E42B40">
        <w:t>: A report on the status of Uninterruptible Power Supply (UPS) systems, including:</w:t>
      </w:r>
    </w:p>
    <w:p w14:paraId="7A97490C" w14:textId="77777777" w:rsidR="00E42B40" w:rsidRPr="00E42B40" w:rsidRDefault="00E42B40">
      <w:pPr>
        <w:numPr>
          <w:ilvl w:val="1"/>
          <w:numId w:val="25"/>
        </w:numPr>
      </w:pPr>
      <w:r w:rsidRPr="00E42B40">
        <w:t>Battery health and status</w:t>
      </w:r>
    </w:p>
    <w:p w14:paraId="18DA4D71" w14:textId="77777777" w:rsidR="00E42B40" w:rsidRPr="00E42B40" w:rsidRDefault="00E42B40">
      <w:pPr>
        <w:numPr>
          <w:ilvl w:val="1"/>
          <w:numId w:val="25"/>
        </w:numPr>
      </w:pPr>
      <w:r w:rsidRPr="00E42B40">
        <w:t>Power consumption and load balancing</w:t>
      </w:r>
    </w:p>
    <w:p w14:paraId="09D9BA1A" w14:textId="77777777" w:rsidR="00E42B40" w:rsidRPr="00E42B40" w:rsidRDefault="00E42B40">
      <w:pPr>
        <w:numPr>
          <w:ilvl w:val="1"/>
          <w:numId w:val="25"/>
        </w:numPr>
      </w:pPr>
      <w:r w:rsidRPr="00E42B40">
        <w:t>Failures, anomalies, or alerts related to UPS performance</w:t>
      </w:r>
    </w:p>
    <w:p w14:paraId="00C526F4" w14:textId="77777777" w:rsidR="00E42B40" w:rsidRPr="00E42B40" w:rsidRDefault="00E42B40">
      <w:pPr>
        <w:numPr>
          <w:ilvl w:val="0"/>
          <w:numId w:val="25"/>
        </w:numPr>
      </w:pPr>
      <w:r w:rsidRPr="00E42B40">
        <w:rPr>
          <w:b/>
          <w:bCs/>
        </w:rPr>
        <w:t>Asset and Configuration Management Report</w:t>
      </w:r>
      <w:r w:rsidRPr="00E42B40">
        <w:t>: This report provides a detailed inventory of all hardware and software assets across the LRC infrastructure, including:</w:t>
      </w:r>
    </w:p>
    <w:p w14:paraId="26741843" w14:textId="77777777" w:rsidR="00E42B40" w:rsidRPr="00E42B40" w:rsidRDefault="00E42B40">
      <w:pPr>
        <w:numPr>
          <w:ilvl w:val="1"/>
          <w:numId w:val="25"/>
        </w:numPr>
      </w:pPr>
      <w:r w:rsidRPr="00E42B40">
        <w:t>Asset health and performance status</w:t>
      </w:r>
    </w:p>
    <w:p w14:paraId="4ED38FF7" w14:textId="77777777" w:rsidR="00E42B40" w:rsidRPr="00E42B40" w:rsidRDefault="00E42B40">
      <w:pPr>
        <w:numPr>
          <w:ilvl w:val="1"/>
          <w:numId w:val="25"/>
        </w:numPr>
      </w:pPr>
      <w:r w:rsidRPr="00E42B40">
        <w:t>Configuration compliance checks</w:t>
      </w:r>
    </w:p>
    <w:p w14:paraId="2546E2F7" w14:textId="396342D0" w:rsidR="00E42B40" w:rsidRPr="00E42B40" w:rsidRDefault="00E42B40">
      <w:pPr>
        <w:numPr>
          <w:ilvl w:val="1"/>
          <w:numId w:val="25"/>
        </w:numPr>
      </w:pPr>
      <w:r w:rsidRPr="00E42B40">
        <w:lastRenderedPageBreak/>
        <w:t>System upgrades or changes</w:t>
      </w:r>
      <w:r w:rsidR="00F5149F">
        <w:br/>
      </w:r>
    </w:p>
    <w:p w14:paraId="2B7DF300" w14:textId="17B99FD8" w:rsidR="00E42B40" w:rsidRPr="00E42B40" w:rsidRDefault="00E42B40" w:rsidP="00332ECF">
      <w:pPr>
        <w:pStyle w:val="Heading3"/>
      </w:pPr>
      <w:bookmarkStart w:id="31" w:name="_Toc191893489"/>
      <w:r w:rsidRPr="00E42B40">
        <w:t>11.2 Types of Dashboards</w:t>
      </w:r>
      <w:bookmarkEnd w:id="31"/>
      <w:r w:rsidR="00332ECF">
        <w:br/>
      </w:r>
    </w:p>
    <w:p w14:paraId="19E0159A" w14:textId="4735EBB9" w:rsidR="00E42B40" w:rsidRPr="00E42B40" w:rsidRDefault="00E42B40" w:rsidP="00332ECF">
      <w:pPr>
        <w:pStyle w:val="Heading3"/>
      </w:pPr>
      <w:bookmarkStart w:id="32" w:name="_Toc191893490"/>
      <w:r w:rsidRPr="00E42B40">
        <w:t>11.2.1 Executive Dashboard</w:t>
      </w:r>
      <w:bookmarkEnd w:id="32"/>
      <w:r w:rsidR="00332ECF">
        <w:br/>
      </w:r>
    </w:p>
    <w:p w14:paraId="44A97D2D" w14:textId="77777777" w:rsidR="00E42B40" w:rsidRPr="00E42B40" w:rsidRDefault="00E42B40">
      <w:pPr>
        <w:numPr>
          <w:ilvl w:val="0"/>
          <w:numId w:val="26"/>
        </w:numPr>
      </w:pPr>
      <w:r w:rsidRPr="00E42B40">
        <w:t>A high-level view of the most critical performance and security metrics, designed for senior leadership. This dashboard should include:</w:t>
      </w:r>
    </w:p>
    <w:p w14:paraId="35340515" w14:textId="77777777" w:rsidR="00E42B40" w:rsidRPr="00E42B40" w:rsidRDefault="00E42B40">
      <w:pPr>
        <w:numPr>
          <w:ilvl w:val="1"/>
          <w:numId w:val="26"/>
        </w:numPr>
      </w:pPr>
      <w:r w:rsidRPr="00E42B40">
        <w:t>Incident trends (by severity)</w:t>
      </w:r>
    </w:p>
    <w:p w14:paraId="27B3D963" w14:textId="77777777" w:rsidR="00E42B40" w:rsidRPr="00E42B40" w:rsidRDefault="00E42B40">
      <w:pPr>
        <w:numPr>
          <w:ilvl w:val="1"/>
          <w:numId w:val="26"/>
        </w:numPr>
      </w:pPr>
      <w:r w:rsidRPr="00E42B40">
        <w:t>System uptime and availability</w:t>
      </w:r>
    </w:p>
    <w:p w14:paraId="39A76DE0" w14:textId="77777777" w:rsidR="00E42B40" w:rsidRPr="00E42B40" w:rsidRDefault="00E42B40">
      <w:pPr>
        <w:numPr>
          <w:ilvl w:val="1"/>
          <w:numId w:val="26"/>
        </w:numPr>
      </w:pPr>
      <w:r w:rsidRPr="00E42B40">
        <w:t>Compliance status summary</w:t>
      </w:r>
    </w:p>
    <w:p w14:paraId="672F0C14" w14:textId="77777777" w:rsidR="00E42B40" w:rsidRPr="00E42B40" w:rsidRDefault="00E42B40">
      <w:pPr>
        <w:numPr>
          <w:ilvl w:val="1"/>
          <w:numId w:val="26"/>
        </w:numPr>
      </w:pPr>
      <w:r w:rsidRPr="00E42B40">
        <w:t>Key performance indicators (KPIs) for network, server, and application performance</w:t>
      </w:r>
    </w:p>
    <w:p w14:paraId="12EF5613" w14:textId="3006F5BD" w:rsidR="00E42B40" w:rsidRPr="00E42B40" w:rsidRDefault="00E42B40">
      <w:pPr>
        <w:numPr>
          <w:ilvl w:val="1"/>
          <w:numId w:val="26"/>
        </w:numPr>
      </w:pPr>
      <w:r w:rsidRPr="00E42B40">
        <w:t>Current and historical security event data</w:t>
      </w:r>
      <w:r w:rsidR="00F5149F">
        <w:br/>
      </w:r>
    </w:p>
    <w:p w14:paraId="02C5E595" w14:textId="7AA0F245" w:rsidR="00E42B40" w:rsidRPr="00E42B40" w:rsidRDefault="00E42B40" w:rsidP="00332ECF">
      <w:pPr>
        <w:pStyle w:val="Heading3"/>
      </w:pPr>
      <w:bookmarkStart w:id="33" w:name="_Toc191893491"/>
      <w:r w:rsidRPr="00E42B40">
        <w:t>11.2.2 Security Operations Dashboard</w:t>
      </w:r>
      <w:bookmarkEnd w:id="33"/>
      <w:r w:rsidR="00332ECF">
        <w:br/>
      </w:r>
    </w:p>
    <w:p w14:paraId="7D052DF6" w14:textId="77777777" w:rsidR="00E42B40" w:rsidRPr="00E42B40" w:rsidRDefault="00E42B40">
      <w:pPr>
        <w:numPr>
          <w:ilvl w:val="0"/>
          <w:numId w:val="27"/>
        </w:numPr>
      </w:pPr>
      <w:r w:rsidRPr="00E42B40">
        <w:t>A detailed view for security operations teams, showing real-time data related to the security posture of LRC’s IT infrastructure. This should include:</w:t>
      </w:r>
    </w:p>
    <w:p w14:paraId="4AC13659" w14:textId="77777777" w:rsidR="00E42B40" w:rsidRPr="00E42B40" w:rsidRDefault="00E42B40">
      <w:pPr>
        <w:numPr>
          <w:ilvl w:val="1"/>
          <w:numId w:val="27"/>
        </w:numPr>
      </w:pPr>
      <w:r w:rsidRPr="00E42B40">
        <w:t>Active security alerts and events</w:t>
      </w:r>
    </w:p>
    <w:p w14:paraId="714EC82D" w14:textId="77777777" w:rsidR="00E42B40" w:rsidRPr="00E42B40" w:rsidRDefault="00E42B40">
      <w:pPr>
        <w:numPr>
          <w:ilvl w:val="1"/>
          <w:numId w:val="27"/>
        </w:numPr>
      </w:pPr>
      <w:r w:rsidRPr="00E42B40">
        <w:t>Current vulnerability status and patch management</w:t>
      </w:r>
    </w:p>
    <w:p w14:paraId="76624A00" w14:textId="77777777" w:rsidR="00E42B40" w:rsidRPr="00E42B40" w:rsidRDefault="00E42B40">
      <w:pPr>
        <w:numPr>
          <w:ilvl w:val="1"/>
          <w:numId w:val="27"/>
        </w:numPr>
      </w:pPr>
      <w:r w:rsidRPr="00E42B40">
        <w:t>Real-time threat analysis and incident management</w:t>
      </w:r>
    </w:p>
    <w:p w14:paraId="33BDD252" w14:textId="37D4A686" w:rsidR="00E42B40" w:rsidRPr="00E42B40" w:rsidRDefault="00E42B40">
      <w:pPr>
        <w:numPr>
          <w:ilvl w:val="1"/>
          <w:numId w:val="27"/>
        </w:numPr>
      </w:pPr>
      <w:r w:rsidRPr="00E42B40">
        <w:t>Integrated SIEM data with ongoing investigation status</w:t>
      </w:r>
      <w:r w:rsidR="00332ECF">
        <w:br/>
      </w:r>
    </w:p>
    <w:p w14:paraId="143A520F" w14:textId="0B7B27A6" w:rsidR="00E42B40" w:rsidRPr="00E42B40" w:rsidRDefault="00E42B40" w:rsidP="00332ECF">
      <w:pPr>
        <w:pStyle w:val="Heading3"/>
      </w:pPr>
      <w:bookmarkStart w:id="34" w:name="_Toc191893492"/>
      <w:r w:rsidRPr="00E42B40">
        <w:t>11.2.3 Network Operations Dashboard</w:t>
      </w:r>
      <w:bookmarkEnd w:id="34"/>
      <w:r w:rsidR="00332ECF">
        <w:br/>
      </w:r>
    </w:p>
    <w:p w14:paraId="1C6ABAC1" w14:textId="77777777" w:rsidR="00E42B40" w:rsidRPr="00E42B40" w:rsidRDefault="00E42B40">
      <w:pPr>
        <w:numPr>
          <w:ilvl w:val="0"/>
          <w:numId w:val="28"/>
        </w:numPr>
      </w:pPr>
      <w:r w:rsidRPr="00E42B40">
        <w:t>A dashboard for network operations teams providing insights into network performance and availability, including:</w:t>
      </w:r>
    </w:p>
    <w:p w14:paraId="458B4585" w14:textId="77777777" w:rsidR="00E42B40" w:rsidRPr="00E42B40" w:rsidRDefault="00E42B40">
      <w:pPr>
        <w:numPr>
          <w:ilvl w:val="1"/>
          <w:numId w:val="28"/>
        </w:numPr>
      </w:pPr>
      <w:r w:rsidRPr="00E42B40">
        <w:t>Real-time network traffic monitoring</w:t>
      </w:r>
    </w:p>
    <w:p w14:paraId="0AF6DD21" w14:textId="77777777" w:rsidR="00E42B40" w:rsidRPr="00E42B40" w:rsidRDefault="00E42B40">
      <w:pPr>
        <w:numPr>
          <w:ilvl w:val="1"/>
          <w:numId w:val="28"/>
        </w:numPr>
      </w:pPr>
      <w:r w:rsidRPr="00E42B40">
        <w:t>Device uptime and performance metrics</w:t>
      </w:r>
    </w:p>
    <w:p w14:paraId="3B8DFE59" w14:textId="77777777" w:rsidR="00E42B40" w:rsidRPr="00E42B40" w:rsidRDefault="00E42B40">
      <w:pPr>
        <w:numPr>
          <w:ilvl w:val="1"/>
          <w:numId w:val="28"/>
        </w:numPr>
      </w:pPr>
      <w:r w:rsidRPr="00E42B40">
        <w:t>Bandwidth and resource utilization data</w:t>
      </w:r>
    </w:p>
    <w:p w14:paraId="5163817C" w14:textId="2F6B0612" w:rsidR="00E42B40" w:rsidRPr="00E42B40" w:rsidRDefault="00E42B40">
      <w:pPr>
        <w:numPr>
          <w:ilvl w:val="1"/>
          <w:numId w:val="28"/>
        </w:numPr>
      </w:pPr>
      <w:r w:rsidRPr="00E42B40">
        <w:t>Latency, packet loss, and network health overview</w:t>
      </w:r>
      <w:r w:rsidR="00332ECF">
        <w:br/>
      </w:r>
    </w:p>
    <w:p w14:paraId="716B5420" w14:textId="0EACB20C" w:rsidR="00E42B40" w:rsidRPr="00E42B40" w:rsidRDefault="00E42B40" w:rsidP="00332ECF">
      <w:pPr>
        <w:pStyle w:val="Heading3"/>
      </w:pPr>
      <w:bookmarkStart w:id="35" w:name="_Toc191893493"/>
      <w:r w:rsidRPr="00E42B40">
        <w:t>11.2.4 Incident Management Dashboard</w:t>
      </w:r>
      <w:bookmarkEnd w:id="35"/>
      <w:r w:rsidR="00332ECF">
        <w:br/>
      </w:r>
    </w:p>
    <w:p w14:paraId="3D8746E9" w14:textId="77777777" w:rsidR="00E42B40" w:rsidRPr="00E42B40" w:rsidRDefault="00E42B40">
      <w:pPr>
        <w:numPr>
          <w:ilvl w:val="0"/>
          <w:numId w:val="29"/>
        </w:numPr>
      </w:pPr>
      <w:r w:rsidRPr="00E42B40">
        <w:t>A dashboard that provides real-time updates on active and ongoing incidents, including:</w:t>
      </w:r>
    </w:p>
    <w:p w14:paraId="09B83915" w14:textId="77777777" w:rsidR="00E42B40" w:rsidRPr="00E42B40" w:rsidRDefault="00E42B40">
      <w:pPr>
        <w:numPr>
          <w:ilvl w:val="1"/>
          <w:numId w:val="29"/>
        </w:numPr>
      </w:pPr>
      <w:r w:rsidRPr="00E42B40">
        <w:t>Incident classification by severity</w:t>
      </w:r>
    </w:p>
    <w:p w14:paraId="7B728556" w14:textId="77777777" w:rsidR="00E42B40" w:rsidRPr="00E42B40" w:rsidRDefault="00E42B40">
      <w:pPr>
        <w:numPr>
          <w:ilvl w:val="1"/>
          <w:numId w:val="29"/>
        </w:numPr>
      </w:pPr>
      <w:r w:rsidRPr="00E42B40">
        <w:t>Time to resolution and SLA adherence</w:t>
      </w:r>
    </w:p>
    <w:p w14:paraId="7372229C" w14:textId="77777777" w:rsidR="00E42B40" w:rsidRPr="00E42B40" w:rsidRDefault="00E42B40">
      <w:pPr>
        <w:numPr>
          <w:ilvl w:val="1"/>
          <w:numId w:val="29"/>
        </w:numPr>
      </w:pPr>
      <w:r w:rsidRPr="00E42B40">
        <w:t>Incident escalation and resolution status</w:t>
      </w:r>
    </w:p>
    <w:p w14:paraId="7CA6A9F0" w14:textId="324F8340" w:rsidR="00E42B40" w:rsidRPr="00E42B40" w:rsidRDefault="00E42B40">
      <w:pPr>
        <w:numPr>
          <w:ilvl w:val="1"/>
          <w:numId w:val="29"/>
        </w:numPr>
      </w:pPr>
      <w:r w:rsidRPr="00E42B40">
        <w:t>Root cause analysis and ongoing remediation efforts</w:t>
      </w:r>
      <w:r w:rsidR="00332ECF">
        <w:br/>
      </w:r>
    </w:p>
    <w:p w14:paraId="20D2525A" w14:textId="12372651" w:rsidR="00E42B40" w:rsidRPr="00E42B40" w:rsidRDefault="00E42B40" w:rsidP="00332ECF">
      <w:pPr>
        <w:pStyle w:val="Heading3"/>
      </w:pPr>
      <w:bookmarkStart w:id="36" w:name="_Toc191893494"/>
      <w:r w:rsidRPr="00E42B40">
        <w:t>11.2.5 Disaster Recovery and Business Continuity Dashboard</w:t>
      </w:r>
      <w:bookmarkEnd w:id="36"/>
      <w:r w:rsidR="00332ECF">
        <w:br/>
      </w:r>
    </w:p>
    <w:p w14:paraId="3FAE0B68" w14:textId="77777777" w:rsidR="00E42B40" w:rsidRPr="00E42B40" w:rsidRDefault="00E42B40">
      <w:pPr>
        <w:numPr>
          <w:ilvl w:val="0"/>
          <w:numId w:val="30"/>
        </w:numPr>
      </w:pPr>
      <w:r w:rsidRPr="00E42B40">
        <w:t>A real-time view of LRC’s disaster recovery and business continuity readiness, including:</w:t>
      </w:r>
    </w:p>
    <w:p w14:paraId="12F85DEA" w14:textId="77777777" w:rsidR="00E42B40" w:rsidRPr="00E42B40" w:rsidRDefault="00E42B40">
      <w:pPr>
        <w:numPr>
          <w:ilvl w:val="1"/>
          <w:numId w:val="30"/>
        </w:numPr>
      </w:pPr>
      <w:r w:rsidRPr="00E42B40">
        <w:t>Current status of backup systems</w:t>
      </w:r>
    </w:p>
    <w:p w14:paraId="5D379846" w14:textId="77777777" w:rsidR="00E42B40" w:rsidRPr="00E42B40" w:rsidRDefault="00E42B40">
      <w:pPr>
        <w:numPr>
          <w:ilvl w:val="1"/>
          <w:numId w:val="30"/>
        </w:numPr>
      </w:pPr>
      <w:r w:rsidRPr="00E42B40">
        <w:t>Disaster recovery plan execution and test status</w:t>
      </w:r>
    </w:p>
    <w:p w14:paraId="38D98D19" w14:textId="77777777" w:rsidR="00E42B40" w:rsidRPr="00E42B40" w:rsidRDefault="00E42B40">
      <w:pPr>
        <w:numPr>
          <w:ilvl w:val="1"/>
          <w:numId w:val="30"/>
        </w:numPr>
      </w:pPr>
      <w:r w:rsidRPr="00E42B40">
        <w:t>RTO and RPO compliance for critical systems</w:t>
      </w:r>
    </w:p>
    <w:p w14:paraId="0D06BF7E" w14:textId="02C3F30A" w:rsidR="00E42B40" w:rsidRPr="00E42B40" w:rsidRDefault="00E42B40">
      <w:pPr>
        <w:numPr>
          <w:ilvl w:val="1"/>
          <w:numId w:val="30"/>
        </w:numPr>
      </w:pPr>
      <w:r w:rsidRPr="00E42B40">
        <w:t>Data integrity and system restore times</w:t>
      </w:r>
      <w:r w:rsidR="00332ECF">
        <w:br/>
      </w:r>
    </w:p>
    <w:p w14:paraId="56ECFC38" w14:textId="68C5AE7D" w:rsidR="00E42B40" w:rsidRPr="00E42B40" w:rsidRDefault="00E42B40" w:rsidP="00332ECF">
      <w:pPr>
        <w:pStyle w:val="Heading3"/>
      </w:pPr>
      <w:bookmarkStart w:id="37" w:name="_Toc191893495"/>
      <w:r w:rsidRPr="00E42B40">
        <w:lastRenderedPageBreak/>
        <w:t>11.2.6 Environmental and Infrastructure Monitoring Dashboard</w:t>
      </w:r>
      <w:bookmarkEnd w:id="37"/>
      <w:r w:rsidR="00332ECF">
        <w:br/>
      </w:r>
    </w:p>
    <w:p w14:paraId="5C94DA11" w14:textId="77777777" w:rsidR="00E42B40" w:rsidRPr="00E42B40" w:rsidRDefault="00E42B40">
      <w:pPr>
        <w:numPr>
          <w:ilvl w:val="0"/>
          <w:numId w:val="31"/>
        </w:numPr>
      </w:pPr>
      <w:r w:rsidRPr="00E42B40">
        <w:t>A dashboard displaying environmental conditions, particularly for temperature-sensitive locations such as blood banks, and UPS monitoring across LRC facilities. This dashboard should include:</w:t>
      </w:r>
    </w:p>
    <w:p w14:paraId="557EA354" w14:textId="77777777" w:rsidR="00E42B40" w:rsidRPr="00E42B40" w:rsidRDefault="00E42B40">
      <w:pPr>
        <w:numPr>
          <w:ilvl w:val="1"/>
          <w:numId w:val="31"/>
        </w:numPr>
      </w:pPr>
      <w:r w:rsidRPr="00E42B40">
        <w:t>Temperature and humidity levels across critical sites</w:t>
      </w:r>
    </w:p>
    <w:p w14:paraId="764CAF98" w14:textId="77777777" w:rsidR="00E42B40" w:rsidRPr="00E42B40" w:rsidRDefault="00E42B40">
      <w:pPr>
        <w:numPr>
          <w:ilvl w:val="1"/>
          <w:numId w:val="31"/>
        </w:numPr>
      </w:pPr>
      <w:r w:rsidRPr="00E42B40">
        <w:t>UPS battery status and power usage</w:t>
      </w:r>
    </w:p>
    <w:p w14:paraId="76F95180" w14:textId="77777777" w:rsidR="00E42B40" w:rsidRPr="00E42B40" w:rsidRDefault="00E42B40">
      <w:pPr>
        <w:numPr>
          <w:ilvl w:val="1"/>
          <w:numId w:val="31"/>
        </w:numPr>
      </w:pPr>
      <w:r w:rsidRPr="00E42B40">
        <w:t>Alerts related to environmental anomalies</w:t>
      </w:r>
    </w:p>
    <w:p w14:paraId="68F0F09F" w14:textId="77777777" w:rsidR="005E2C91" w:rsidRDefault="005E2C91" w:rsidP="005E2C91"/>
    <w:p w14:paraId="44252AF1" w14:textId="77777777" w:rsidR="00FF7F31" w:rsidRDefault="00FF7F31" w:rsidP="005E2C91"/>
    <w:p w14:paraId="3645F69D" w14:textId="77777777" w:rsidR="00FF7F31" w:rsidRDefault="00FF7F31" w:rsidP="005E2C91"/>
    <w:p w14:paraId="27C7905D" w14:textId="77777777" w:rsidR="00FF7F31" w:rsidRDefault="00FF7F31" w:rsidP="005E2C91"/>
    <w:p w14:paraId="6CAAB855" w14:textId="77777777" w:rsidR="00FF7F31" w:rsidRDefault="00FF7F31" w:rsidP="005E2C91"/>
    <w:p w14:paraId="66B3B6E5" w14:textId="77777777" w:rsidR="00FF7F31" w:rsidRDefault="00FF7F31" w:rsidP="005E2C91"/>
    <w:p w14:paraId="190CE6EC" w14:textId="77777777" w:rsidR="00FF7F31" w:rsidRDefault="00FF7F31" w:rsidP="005E2C91"/>
    <w:p w14:paraId="6A24DF18" w14:textId="77777777" w:rsidR="00FF7F31" w:rsidRDefault="00FF7F31" w:rsidP="005E2C91"/>
    <w:p w14:paraId="578B7C56" w14:textId="77777777" w:rsidR="00FF7F31" w:rsidRDefault="00FF7F31" w:rsidP="005E2C91"/>
    <w:p w14:paraId="0214AA75" w14:textId="77777777" w:rsidR="00FF7F31" w:rsidRDefault="00FF7F31" w:rsidP="005E2C91"/>
    <w:p w14:paraId="2C9CCCFF" w14:textId="77777777" w:rsidR="00FF7F31" w:rsidRDefault="00FF7F31" w:rsidP="005E2C91"/>
    <w:p w14:paraId="0C4032F7" w14:textId="77777777" w:rsidR="00FF7F31" w:rsidRDefault="00FF7F31" w:rsidP="005E2C91"/>
    <w:p w14:paraId="2EEA3C91" w14:textId="77777777" w:rsidR="00FF7F31" w:rsidRDefault="00FF7F31" w:rsidP="005E2C91"/>
    <w:p w14:paraId="1C3D2EE9" w14:textId="77777777" w:rsidR="00FF7F31" w:rsidRDefault="00FF7F31" w:rsidP="005E2C91"/>
    <w:p w14:paraId="373B2AA4" w14:textId="77777777" w:rsidR="00FF7F31" w:rsidRDefault="00FF7F31" w:rsidP="005E2C91"/>
    <w:p w14:paraId="643491C1" w14:textId="77777777" w:rsidR="00FF7F31" w:rsidRDefault="00FF7F31" w:rsidP="005E2C91"/>
    <w:p w14:paraId="585087EA" w14:textId="77777777" w:rsidR="00FF7F31" w:rsidRDefault="00FF7F31" w:rsidP="005E2C91"/>
    <w:p w14:paraId="1E24C143" w14:textId="77777777" w:rsidR="00FF7F31" w:rsidRDefault="00FF7F31" w:rsidP="005E2C91"/>
    <w:p w14:paraId="21C673B7" w14:textId="77777777" w:rsidR="00FF7F31" w:rsidRDefault="00FF7F31" w:rsidP="005E2C91"/>
    <w:p w14:paraId="46EFF5CF" w14:textId="77777777" w:rsidR="00FF7F31" w:rsidRDefault="00FF7F31" w:rsidP="005E2C91"/>
    <w:p w14:paraId="245D7A6A" w14:textId="77777777" w:rsidR="00FF7F31" w:rsidRDefault="00FF7F31" w:rsidP="005E2C91"/>
    <w:p w14:paraId="4EC6BF8E" w14:textId="77777777" w:rsidR="00FF7F31" w:rsidRDefault="00FF7F31" w:rsidP="005E2C91"/>
    <w:p w14:paraId="1F1048E8" w14:textId="77777777" w:rsidR="00FF7F31" w:rsidRDefault="00FF7F31" w:rsidP="005E2C91"/>
    <w:p w14:paraId="292423C2" w14:textId="77777777" w:rsidR="005B35F6" w:rsidRDefault="005B35F6" w:rsidP="005E2C91"/>
    <w:p w14:paraId="4D465681" w14:textId="77777777" w:rsidR="005B35F6" w:rsidRDefault="005B35F6" w:rsidP="005E2C91"/>
    <w:p w14:paraId="7FE2ACE1" w14:textId="77777777" w:rsidR="005B35F6" w:rsidRDefault="005B35F6" w:rsidP="005E2C91"/>
    <w:p w14:paraId="7F42E1FD" w14:textId="77777777" w:rsidR="005B35F6" w:rsidRDefault="005B35F6" w:rsidP="005E2C91"/>
    <w:p w14:paraId="34900502" w14:textId="77777777" w:rsidR="005B35F6" w:rsidRDefault="005B35F6" w:rsidP="005E2C91"/>
    <w:p w14:paraId="2C3B7686" w14:textId="77777777" w:rsidR="00FF7F31" w:rsidRDefault="00FF7F31" w:rsidP="005E2C91"/>
    <w:p w14:paraId="01E8B6A2" w14:textId="77777777" w:rsidR="00FF7F31" w:rsidRDefault="00FF7F31" w:rsidP="005E2C91"/>
    <w:p w14:paraId="0D65A6CE" w14:textId="77777777" w:rsidR="00FF7F31" w:rsidRDefault="00FF7F31" w:rsidP="005E2C91"/>
    <w:p w14:paraId="061BD5E3" w14:textId="77777777" w:rsidR="00FF7F31" w:rsidRDefault="00FF7F31" w:rsidP="005E2C91"/>
    <w:p w14:paraId="50C32A22" w14:textId="77777777" w:rsidR="00EA0233" w:rsidRDefault="00EA0233" w:rsidP="005E2C91"/>
    <w:p w14:paraId="4CBED972" w14:textId="77777777" w:rsidR="00EA0233" w:rsidRDefault="00EA0233" w:rsidP="005E2C91"/>
    <w:p w14:paraId="743EB1A3" w14:textId="77777777" w:rsidR="00EA0233" w:rsidRDefault="00EA0233" w:rsidP="005E2C91"/>
    <w:p w14:paraId="2248125D" w14:textId="77777777" w:rsidR="00EA0233" w:rsidRDefault="00EA0233" w:rsidP="005E2C91"/>
    <w:p w14:paraId="0F88B174" w14:textId="4328DD03" w:rsidR="00EA0233" w:rsidRPr="005E2C91" w:rsidRDefault="00EA0233">
      <w:pPr>
        <w:pStyle w:val="Heading3"/>
        <w:numPr>
          <w:ilvl w:val="2"/>
          <w:numId w:val="34"/>
        </w:numPr>
      </w:pPr>
      <w:bookmarkStart w:id="38" w:name="_Toc191893496"/>
      <w:r w:rsidRPr="005E2C91">
        <w:t>Evaluation Criteria and Selection Process</w:t>
      </w:r>
      <w:bookmarkEnd w:id="38"/>
      <w:r>
        <w:br/>
      </w:r>
    </w:p>
    <w:p w14:paraId="0A0C5B47" w14:textId="77777777" w:rsidR="00EA0233" w:rsidRPr="005E2C91" w:rsidRDefault="00EA0233" w:rsidP="00EA0233">
      <w:r w:rsidRPr="005E2C91">
        <w:t>Proposals will be evaluated based on the following:</w:t>
      </w:r>
    </w:p>
    <w:p w14:paraId="171665BF" w14:textId="77777777" w:rsidR="00EA0233" w:rsidRPr="005E2C91" w:rsidRDefault="00EA0233">
      <w:pPr>
        <w:numPr>
          <w:ilvl w:val="0"/>
          <w:numId w:val="13"/>
        </w:numPr>
      </w:pPr>
      <w:r w:rsidRPr="005E2C91">
        <w:rPr>
          <w:b/>
          <w:bCs/>
        </w:rPr>
        <w:t>Technical Expertise</w:t>
      </w:r>
      <w:r w:rsidRPr="005E2C91">
        <w:t>: The vendor’s ability to meet LRC’s operational and security needs.</w:t>
      </w:r>
    </w:p>
    <w:p w14:paraId="514A17A5" w14:textId="77777777" w:rsidR="00EA0233" w:rsidRPr="005E2C91" w:rsidRDefault="00EA0233">
      <w:pPr>
        <w:numPr>
          <w:ilvl w:val="0"/>
          <w:numId w:val="13"/>
        </w:numPr>
      </w:pPr>
      <w:r w:rsidRPr="005E2C91">
        <w:rPr>
          <w:b/>
          <w:bCs/>
        </w:rPr>
        <w:t>Service Flexibility</w:t>
      </w:r>
      <w:r w:rsidRPr="005E2C91">
        <w:t>: Ability to scale services as LRC’s needs evolve.</w:t>
      </w:r>
    </w:p>
    <w:p w14:paraId="2279E4D1" w14:textId="77777777" w:rsidR="00EA0233" w:rsidRPr="005E2C91" w:rsidRDefault="00EA0233">
      <w:pPr>
        <w:numPr>
          <w:ilvl w:val="0"/>
          <w:numId w:val="13"/>
        </w:numPr>
      </w:pPr>
      <w:r w:rsidRPr="005E2C91">
        <w:rPr>
          <w:b/>
          <w:bCs/>
        </w:rPr>
        <w:t>References and Case Studies</w:t>
      </w:r>
      <w:r w:rsidRPr="005E2C91">
        <w:t>: Demonstrated success in managing NOC/SOC services for similar-sized organizations.</w:t>
      </w:r>
    </w:p>
    <w:p w14:paraId="394BF187" w14:textId="77777777" w:rsidR="00EA0233" w:rsidRPr="005E2C91" w:rsidRDefault="00EA0233">
      <w:pPr>
        <w:numPr>
          <w:ilvl w:val="0"/>
          <w:numId w:val="13"/>
        </w:numPr>
      </w:pPr>
      <w:r w:rsidRPr="005E2C91">
        <w:rPr>
          <w:b/>
          <w:bCs/>
        </w:rPr>
        <w:lastRenderedPageBreak/>
        <w:t>Cost-Effectiveness</w:t>
      </w:r>
      <w:r w:rsidRPr="005E2C91">
        <w:t>: Transparency in pricing and cost structure, with clear breakdowns.</w:t>
      </w:r>
    </w:p>
    <w:p w14:paraId="443998EB" w14:textId="2903C084" w:rsidR="00EA0233" w:rsidRPr="00E854CD" w:rsidRDefault="00EA0233">
      <w:pPr>
        <w:numPr>
          <w:ilvl w:val="0"/>
          <w:numId w:val="13"/>
        </w:numPr>
      </w:pPr>
      <w:r w:rsidRPr="005E2C91">
        <w:rPr>
          <w:b/>
          <w:bCs/>
        </w:rPr>
        <w:t>Added Value</w:t>
      </w:r>
      <w:r w:rsidRPr="005E2C91">
        <w:t>: Integration of advanced tools (e.g., SOAR, SIEM, EDR) and ability to provide value-added services such as cybersecurity awareness training and dark web monitoring.</w:t>
      </w:r>
    </w:p>
    <w:p w14:paraId="7A905E90" w14:textId="77777777" w:rsidR="00EA0233" w:rsidRDefault="00EA0233" w:rsidP="005E2C91"/>
    <w:p w14:paraId="2C0DCA5A" w14:textId="7133516D" w:rsidR="00FF7F31" w:rsidRPr="00FF7F31" w:rsidRDefault="00FF7F31">
      <w:pPr>
        <w:pStyle w:val="Heading3"/>
        <w:numPr>
          <w:ilvl w:val="2"/>
          <w:numId w:val="34"/>
        </w:numPr>
      </w:pPr>
      <w:bookmarkStart w:id="39" w:name="_Toc191893497"/>
      <w:r w:rsidRPr="00FF7F31">
        <w:t>Instructions for Evaluation:</w:t>
      </w:r>
      <w:bookmarkEnd w:id="39"/>
    </w:p>
    <w:p w14:paraId="28189FA9" w14:textId="77777777" w:rsidR="00FF7F31" w:rsidRDefault="00FF7F31">
      <w:pPr>
        <w:numPr>
          <w:ilvl w:val="0"/>
          <w:numId w:val="33"/>
        </w:numPr>
        <w:spacing w:before="100" w:beforeAutospacing="1" w:after="100" w:afterAutospacing="1"/>
      </w:pPr>
      <w:r>
        <w:rPr>
          <w:rStyle w:val="Strong"/>
        </w:rPr>
        <w:t>Compliant (Yes)</w:t>
      </w:r>
      <w:r>
        <w:t>: The vendor fully meets the requirement as outlined in the RFP. The proposal includes appropriate documentation, evidence, or explanation demonstrating complete compliance.</w:t>
      </w:r>
    </w:p>
    <w:p w14:paraId="53B1DC60" w14:textId="77777777" w:rsidR="00FF7F31" w:rsidRDefault="00FF7F31">
      <w:pPr>
        <w:numPr>
          <w:ilvl w:val="0"/>
          <w:numId w:val="33"/>
        </w:numPr>
        <w:spacing w:before="100" w:beforeAutospacing="1" w:after="100" w:afterAutospacing="1"/>
      </w:pPr>
      <w:r>
        <w:rPr>
          <w:rStyle w:val="Strong"/>
        </w:rPr>
        <w:t>Compliant (No)</w:t>
      </w:r>
      <w:r>
        <w:t>: The vendor does not meet the requirement or cannot demonstrate compliance with the specified needs.</w:t>
      </w:r>
    </w:p>
    <w:p w14:paraId="696041BD" w14:textId="77777777" w:rsidR="00FF7F31" w:rsidRDefault="00FF7F31">
      <w:pPr>
        <w:numPr>
          <w:ilvl w:val="0"/>
          <w:numId w:val="33"/>
        </w:numPr>
        <w:spacing w:before="100" w:beforeAutospacing="1" w:after="100" w:afterAutospacing="1"/>
      </w:pPr>
      <w:r>
        <w:rPr>
          <w:rStyle w:val="Strong"/>
        </w:rPr>
        <w:t>Page # in Bid</w:t>
      </w:r>
      <w:r>
        <w:t>: The vendor should indicate the page number in their proposal where the response to this requirement can be found.</w:t>
      </w:r>
    </w:p>
    <w:p w14:paraId="2CC6DAF5" w14:textId="77777777" w:rsidR="00FF7F31" w:rsidRDefault="00FF7F31">
      <w:pPr>
        <w:numPr>
          <w:ilvl w:val="0"/>
          <w:numId w:val="33"/>
        </w:numPr>
        <w:spacing w:before="100" w:beforeAutospacing="1" w:after="100" w:afterAutospacing="1"/>
      </w:pPr>
      <w:r>
        <w:rPr>
          <w:rStyle w:val="Strong"/>
        </w:rPr>
        <w:t>Comments</w:t>
      </w:r>
      <w:r>
        <w:t>: Evaluators can add any relevant notes here regarding the compliance level or clarification needed for each requirement.</w:t>
      </w:r>
    </w:p>
    <w:p w14:paraId="2B8BBCF3" w14:textId="3785FC12" w:rsidR="00FF7F31" w:rsidRPr="00FF7F31" w:rsidRDefault="00FF7F31">
      <w:pPr>
        <w:pStyle w:val="Heading3"/>
        <w:numPr>
          <w:ilvl w:val="2"/>
          <w:numId w:val="34"/>
        </w:numPr>
      </w:pPr>
      <w:bookmarkStart w:id="40" w:name="_Toc191893498"/>
      <w:r w:rsidRPr="00FF7F31">
        <w:t>Evaluation Criteria Table</w:t>
      </w:r>
      <w:bookmarkEnd w:id="40"/>
      <w:r w:rsidRPr="00FF7F31">
        <w:t xml:space="preserve"> </w:t>
      </w:r>
    </w:p>
    <w:p w14:paraId="7738CF00" w14:textId="77777777" w:rsidR="00CC374A" w:rsidRDefault="00CC374A" w:rsidP="005E2C91"/>
    <w:tbl>
      <w:tblPr>
        <w:tblW w:w="10395" w:type="dxa"/>
        <w:tblLook w:val="04A0" w:firstRow="1" w:lastRow="0" w:firstColumn="1" w:lastColumn="0" w:noHBand="0" w:noVBand="1"/>
      </w:tblPr>
      <w:tblGrid>
        <w:gridCol w:w="4799"/>
        <w:gridCol w:w="1399"/>
        <w:gridCol w:w="1399"/>
        <w:gridCol w:w="2798"/>
      </w:tblGrid>
      <w:tr w:rsidR="00FF7F31" w14:paraId="59EF9EAB" w14:textId="77777777" w:rsidTr="00FF7F31">
        <w:trPr>
          <w:trHeight w:val="1058"/>
        </w:trPr>
        <w:tc>
          <w:tcPr>
            <w:tcW w:w="4799" w:type="dxa"/>
            <w:tcBorders>
              <w:top w:val="single" w:sz="4" w:space="0" w:color="auto"/>
              <w:left w:val="single" w:sz="4" w:space="0" w:color="auto"/>
              <w:bottom w:val="single" w:sz="4" w:space="0" w:color="auto"/>
              <w:right w:val="single" w:sz="4" w:space="0" w:color="auto"/>
            </w:tcBorders>
            <w:shd w:val="clear" w:color="156082" w:fill="156082"/>
            <w:vAlign w:val="center"/>
            <w:hideMark/>
          </w:tcPr>
          <w:p w14:paraId="78DFD8A1" w14:textId="77777777" w:rsidR="00FF7F31" w:rsidRDefault="00FF7F31">
            <w:pPr>
              <w:rPr>
                <w:rFonts w:ascii="Aptos Narrow" w:hAnsi="Aptos Narrow"/>
                <w:b/>
                <w:bCs/>
                <w:color w:val="FFFFFF"/>
              </w:rPr>
            </w:pPr>
            <w:r>
              <w:rPr>
                <w:rFonts w:ascii="Aptos Narrow" w:hAnsi="Aptos Narrow"/>
                <w:b/>
                <w:bCs/>
                <w:color w:val="FFFFFF"/>
              </w:rPr>
              <w:t>Requirement</w:t>
            </w:r>
          </w:p>
        </w:tc>
        <w:tc>
          <w:tcPr>
            <w:tcW w:w="1399" w:type="dxa"/>
            <w:tcBorders>
              <w:top w:val="single" w:sz="4" w:space="0" w:color="auto"/>
              <w:left w:val="nil"/>
              <w:bottom w:val="single" w:sz="4" w:space="0" w:color="auto"/>
              <w:right w:val="single" w:sz="4" w:space="0" w:color="auto"/>
            </w:tcBorders>
            <w:shd w:val="clear" w:color="156082" w:fill="156082"/>
            <w:vAlign w:val="center"/>
            <w:hideMark/>
          </w:tcPr>
          <w:p w14:paraId="3E869E76" w14:textId="77777777" w:rsidR="00FF7F31" w:rsidRDefault="00FF7F31">
            <w:pPr>
              <w:rPr>
                <w:rFonts w:ascii="Aptos Narrow" w:hAnsi="Aptos Narrow"/>
                <w:b/>
                <w:bCs/>
                <w:color w:val="FFFFFF"/>
              </w:rPr>
            </w:pPr>
            <w:r>
              <w:rPr>
                <w:rFonts w:ascii="Aptos Narrow" w:hAnsi="Aptos Narrow"/>
                <w:b/>
                <w:bCs/>
                <w:color w:val="FFFFFF"/>
              </w:rPr>
              <w:t>Compliant (Yes/No/ partially )</w:t>
            </w:r>
          </w:p>
        </w:tc>
        <w:tc>
          <w:tcPr>
            <w:tcW w:w="1399" w:type="dxa"/>
            <w:tcBorders>
              <w:top w:val="single" w:sz="4" w:space="0" w:color="auto"/>
              <w:left w:val="nil"/>
              <w:bottom w:val="single" w:sz="4" w:space="0" w:color="auto"/>
              <w:right w:val="single" w:sz="4" w:space="0" w:color="auto"/>
            </w:tcBorders>
            <w:shd w:val="clear" w:color="156082" w:fill="156082"/>
            <w:vAlign w:val="center"/>
            <w:hideMark/>
          </w:tcPr>
          <w:p w14:paraId="4D79E604" w14:textId="77777777" w:rsidR="00FF7F31" w:rsidRDefault="00FF7F31">
            <w:pPr>
              <w:rPr>
                <w:rFonts w:ascii="Aptos Narrow" w:hAnsi="Aptos Narrow"/>
                <w:b/>
                <w:bCs/>
                <w:color w:val="FFFFFF"/>
              </w:rPr>
            </w:pPr>
            <w:r>
              <w:rPr>
                <w:rFonts w:ascii="Aptos Narrow" w:hAnsi="Aptos Narrow"/>
                <w:b/>
                <w:bCs/>
                <w:color w:val="FFFFFF"/>
              </w:rPr>
              <w:t>Page # in Bid</w:t>
            </w:r>
          </w:p>
        </w:tc>
        <w:tc>
          <w:tcPr>
            <w:tcW w:w="2798" w:type="dxa"/>
            <w:tcBorders>
              <w:top w:val="single" w:sz="4" w:space="0" w:color="auto"/>
              <w:left w:val="nil"/>
              <w:bottom w:val="single" w:sz="4" w:space="0" w:color="auto"/>
              <w:right w:val="single" w:sz="4" w:space="0" w:color="auto"/>
            </w:tcBorders>
            <w:shd w:val="clear" w:color="156082" w:fill="156082"/>
            <w:vAlign w:val="center"/>
            <w:hideMark/>
          </w:tcPr>
          <w:p w14:paraId="5879F66D" w14:textId="77777777" w:rsidR="00FF7F31" w:rsidRDefault="00FF7F31">
            <w:pPr>
              <w:rPr>
                <w:rFonts w:ascii="Aptos Narrow" w:hAnsi="Aptos Narrow"/>
                <w:b/>
                <w:bCs/>
                <w:color w:val="FFFFFF"/>
              </w:rPr>
            </w:pPr>
            <w:r>
              <w:rPr>
                <w:rFonts w:ascii="Aptos Narrow" w:hAnsi="Aptos Narrow"/>
                <w:b/>
                <w:bCs/>
                <w:color w:val="FFFFFF"/>
              </w:rPr>
              <w:t>Comments</w:t>
            </w:r>
          </w:p>
        </w:tc>
      </w:tr>
      <w:tr w:rsidR="00FF7F31" w14:paraId="18296CAB" w14:textId="77777777" w:rsidTr="00FF7F31">
        <w:trPr>
          <w:trHeight w:val="302"/>
        </w:trPr>
        <w:tc>
          <w:tcPr>
            <w:tcW w:w="10395" w:type="dxa"/>
            <w:gridSpan w:val="4"/>
            <w:tcBorders>
              <w:top w:val="single" w:sz="4" w:space="0" w:color="auto"/>
              <w:left w:val="single" w:sz="4" w:space="0" w:color="auto"/>
              <w:bottom w:val="single" w:sz="4" w:space="0" w:color="auto"/>
              <w:right w:val="single" w:sz="4" w:space="0" w:color="auto"/>
            </w:tcBorders>
            <w:shd w:val="clear" w:color="000000" w:fill="FBE2D5"/>
            <w:noWrap/>
            <w:vAlign w:val="bottom"/>
            <w:hideMark/>
          </w:tcPr>
          <w:p w14:paraId="58A6F59D" w14:textId="77777777" w:rsidR="00FF7F31" w:rsidRDefault="00FF7F31">
            <w:pPr>
              <w:jc w:val="center"/>
              <w:rPr>
                <w:rFonts w:ascii="Aptos Narrow" w:hAnsi="Aptos Narrow"/>
                <w:color w:val="000000"/>
              </w:rPr>
            </w:pPr>
            <w:r>
              <w:rPr>
                <w:rFonts w:ascii="Aptos Narrow" w:hAnsi="Aptos Narrow"/>
                <w:color w:val="000000"/>
              </w:rPr>
              <w:t>Incident Response and Resolution Times</w:t>
            </w:r>
          </w:p>
        </w:tc>
      </w:tr>
      <w:tr w:rsidR="00FF7F31" w14:paraId="49505601" w14:textId="77777777" w:rsidTr="00FF7F31">
        <w:trPr>
          <w:trHeight w:val="321"/>
        </w:trPr>
        <w:tc>
          <w:tcPr>
            <w:tcW w:w="10395" w:type="dxa"/>
            <w:gridSpan w:val="4"/>
            <w:tcBorders>
              <w:top w:val="single" w:sz="4" w:space="0" w:color="auto"/>
              <w:left w:val="single" w:sz="4" w:space="0" w:color="auto"/>
              <w:bottom w:val="single" w:sz="4" w:space="0" w:color="auto"/>
              <w:right w:val="single" w:sz="4" w:space="0" w:color="000000"/>
            </w:tcBorders>
            <w:shd w:val="clear" w:color="000000" w:fill="C1F0C8"/>
            <w:vAlign w:val="center"/>
            <w:hideMark/>
          </w:tcPr>
          <w:p w14:paraId="083A8D6D" w14:textId="77777777" w:rsidR="00FF7F31" w:rsidRDefault="00FF7F31">
            <w:pPr>
              <w:rPr>
                <w:rFonts w:ascii="Aptos Narrow" w:hAnsi="Aptos Narrow"/>
                <w:b/>
                <w:bCs/>
                <w:color w:val="000000"/>
                <w:sz w:val="28"/>
                <w:szCs w:val="28"/>
              </w:rPr>
            </w:pPr>
            <w:r>
              <w:rPr>
                <w:rFonts w:ascii="Aptos Narrow" w:hAnsi="Aptos Narrow"/>
                <w:b/>
                <w:bCs/>
                <w:color w:val="000000"/>
                <w:sz w:val="28"/>
                <w:szCs w:val="28"/>
              </w:rPr>
              <w:t>Uptime and Availability</w:t>
            </w:r>
          </w:p>
        </w:tc>
      </w:tr>
      <w:tr w:rsidR="00FF7F31" w14:paraId="235A99B6"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2A00422D" w14:textId="77777777" w:rsidR="00FF7F31" w:rsidRDefault="00FF7F31">
            <w:pPr>
              <w:rPr>
                <w:rFonts w:ascii="Aptos Narrow" w:hAnsi="Aptos Narrow"/>
                <w:color w:val="000000"/>
              </w:rPr>
            </w:pPr>
            <w:r>
              <w:rPr>
                <w:rFonts w:ascii="Aptos Narrow" w:hAnsi="Aptos Narrow"/>
                <w:color w:val="000000"/>
              </w:rPr>
              <w:t>The system must guarantee 99.9% uptime for critical services.</w:t>
            </w:r>
          </w:p>
        </w:tc>
        <w:tc>
          <w:tcPr>
            <w:tcW w:w="1399" w:type="dxa"/>
            <w:tcBorders>
              <w:top w:val="nil"/>
              <w:left w:val="nil"/>
              <w:bottom w:val="single" w:sz="4" w:space="0" w:color="auto"/>
              <w:right w:val="single" w:sz="4" w:space="0" w:color="auto"/>
            </w:tcBorders>
            <w:shd w:val="clear" w:color="auto" w:fill="auto"/>
            <w:noWrap/>
            <w:vAlign w:val="bottom"/>
            <w:hideMark/>
          </w:tcPr>
          <w:p w14:paraId="66F77BB5"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3F51B3E8"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3C6FAD5D" w14:textId="77777777" w:rsidR="00FF7F31" w:rsidRDefault="00FF7F31">
            <w:pPr>
              <w:rPr>
                <w:rFonts w:ascii="Aptos Narrow" w:hAnsi="Aptos Narrow"/>
                <w:color w:val="000000"/>
              </w:rPr>
            </w:pPr>
            <w:r>
              <w:rPr>
                <w:rFonts w:ascii="Aptos Narrow" w:hAnsi="Aptos Narrow"/>
                <w:color w:val="000000"/>
              </w:rPr>
              <w:t> </w:t>
            </w:r>
          </w:p>
        </w:tc>
      </w:tr>
      <w:tr w:rsidR="00FF7F31" w14:paraId="28E8E944" w14:textId="77777777" w:rsidTr="00FF7F31">
        <w:trPr>
          <w:trHeight w:val="963"/>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65C7952F" w14:textId="77777777" w:rsidR="00FF7F31" w:rsidRDefault="00FF7F31">
            <w:pPr>
              <w:rPr>
                <w:rFonts w:ascii="Aptos Narrow" w:hAnsi="Aptos Narrow"/>
                <w:color w:val="000000"/>
              </w:rPr>
            </w:pPr>
            <w:r>
              <w:rPr>
                <w:rFonts w:ascii="Aptos Narrow" w:hAnsi="Aptos Narrow"/>
                <w:color w:val="000000"/>
              </w:rPr>
              <w:t>System monitoring includes redundancy with automatic failover mechanisms to ensure continuous availability.</w:t>
            </w:r>
          </w:p>
        </w:tc>
        <w:tc>
          <w:tcPr>
            <w:tcW w:w="1399" w:type="dxa"/>
            <w:tcBorders>
              <w:top w:val="nil"/>
              <w:left w:val="nil"/>
              <w:bottom w:val="single" w:sz="4" w:space="0" w:color="auto"/>
              <w:right w:val="single" w:sz="4" w:space="0" w:color="auto"/>
            </w:tcBorders>
            <w:shd w:val="clear" w:color="auto" w:fill="auto"/>
            <w:noWrap/>
            <w:vAlign w:val="bottom"/>
            <w:hideMark/>
          </w:tcPr>
          <w:p w14:paraId="34B32383"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57662098"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03FD566B" w14:textId="77777777" w:rsidR="00FF7F31" w:rsidRDefault="00FF7F31">
            <w:pPr>
              <w:rPr>
                <w:rFonts w:ascii="Aptos Narrow" w:hAnsi="Aptos Narrow"/>
                <w:color w:val="000000"/>
              </w:rPr>
            </w:pPr>
            <w:r>
              <w:rPr>
                <w:rFonts w:ascii="Aptos Narrow" w:hAnsi="Aptos Narrow"/>
                <w:color w:val="000000"/>
              </w:rPr>
              <w:t> </w:t>
            </w:r>
          </w:p>
        </w:tc>
      </w:tr>
      <w:tr w:rsidR="00FF7F31" w14:paraId="1B4F7EBC"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0A49977E" w14:textId="77777777" w:rsidR="00FF7F31" w:rsidRDefault="00FF7F31">
            <w:pPr>
              <w:rPr>
                <w:rFonts w:ascii="Aptos Narrow" w:hAnsi="Aptos Narrow"/>
                <w:color w:val="000000"/>
              </w:rPr>
            </w:pPr>
            <w:r>
              <w:rPr>
                <w:rFonts w:ascii="Aptos Narrow" w:hAnsi="Aptos Narrow"/>
                <w:color w:val="000000"/>
              </w:rPr>
              <w:t>Monthly performance reports on uptime, downtime incidents, and corrective measures.</w:t>
            </w:r>
          </w:p>
        </w:tc>
        <w:tc>
          <w:tcPr>
            <w:tcW w:w="1399" w:type="dxa"/>
            <w:tcBorders>
              <w:top w:val="nil"/>
              <w:left w:val="nil"/>
              <w:bottom w:val="single" w:sz="4" w:space="0" w:color="auto"/>
              <w:right w:val="single" w:sz="4" w:space="0" w:color="auto"/>
            </w:tcBorders>
            <w:shd w:val="clear" w:color="auto" w:fill="auto"/>
            <w:noWrap/>
            <w:vAlign w:val="bottom"/>
            <w:hideMark/>
          </w:tcPr>
          <w:p w14:paraId="444582AE"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39B3391C"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2BA2B03B" w14:textId="77777777" w:rsidR="00FF7F31" w:rsidRDefault="00FF7F31">
            <w:pPr>
              <w:rPr>
                <w:rFonts w:ascii="Aptos Narrow" w:hAnsi="Aptos Narrow"/>
                <w:color w:val="000000"/>
              </w:rPr>
            </w:pPr>
            <w:r>
              <w:rPr>
                <w:rFonts w:ascii="Aptos Narrow" w:hAnsi="Aptos Narrow"/>
                <w:color w:val="000000"/>
              </w:rPr>
              <w:t> </w:t>
            </w:r>
          </w:p>
        </w:tc>
      </w:tr>
      <w:tr w:rsidR="00FF7F31" w14:paraId="2DD82B3E" w14:textId="77777777" w:rsidTr="00FF7F31">
        <w:trPr>
          <w:trHeight w:val="359"/>
        </w:trPr>
        <w:tc>
          <w:tcPr>
            <w:tcW w:w="10395" w:type="dxa"/>
            <w:gridSpan w:val="4"/>
            <w:tcBorders>
              <w:top w:val="single" w:sz="4" w:space="0" w:color="auto"/>
              <w:left w:val="single" w:sz="4" w:space="0" w:color="auto"/>
              <w:bottom w:val="single" w:sz="4" w:space="0" w:color="auto"/>
              <w:right w:val="single" w:sz="4" w:space="0" w:color="000000"/>
            </w:tcBorders>
            <w:shd w:val="clear" w:color="000000" w:fill="C1F0C8"/>
            <w:vAlign w:val="center"/>
            <w:hideMark/>
          </w:tcPr>
          <w:p w14:paraId="53BDA7B8" w14:textId="77777777" w:rsidR="00FF7F31" w:rsidRDefault="00FF7F31">
            <w:pPr>
              <w:rPr>
                <w:rFonts w:ascii="Aptos Narrow" w:hAnsi="Aptos Narrow"/>
                <w:b/>
                <w:bCs/>
                <w:color w:val="000000"/>
                <w:sz w:val="28"/>
                <w:szCs w:val="28"/>
              </w:rPr>
            </w:pPr>
            <w:r>
              <w:rPr>
                <w:rFonts w:ascii="Aptos Narrow" w:hAnsi="Aptos Narrow"/>
                <w:b/>
                <w:bCs/>
                <w:color w:val="000000"/>
                <w:sz w:val="28"/>
                <w:szCs w:val="28"/>
              </w:rPr>
              <w:t>Incident Response and Resolution Times</w:t>
            </w:r>
          </w:p>
        </w:tc>
      </w:tr>
      <w:tr w:rsidR="00FF7F31" w14:paraId="58029C99"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58FFA47E" w14:textId="77777777" w:rsidR="00FF7F31" w:rsidRDefault="00FF7F31">
            <w:pPr>
              <w:rPr>
                <w:rFonts w:ascii="Aptos Narrow" w:hAnsi="Aptos Narrow"/>
                <w:color w:val="000000"/>
              </w:rPr>
            </w:pPr>
            <w:r>
              <w:rPr>
                <w:rFonts w:ascii="Aptos Narrow" w:hAnsi="Aptos Narrow"/>
                <w:color w:val="000000"/>
              </w:rPr>
              <w:t>Scheduled tests are performed at least every 3 months.</w:t>
            </w:r>
          </w:p>
        </w:tc>
        <w:tc>
          <w:tcPr>
            <w:tcW w:w="1399" w:type="dxa"/>
            <w:tcBorders>
              <w:top w:val="nil"/>
              <w:left w:val="nil"/>
              <w:bottom w:val="single" w:sz="4" w:space="0" w:color="auto"/>
              <w:right w:val="single" w:sz="4" w:space="0" w:color="auto"/>
            </w:tcBorders>
            <w:shd w:val="clear" w:color="auto" w:fill="auto"/>
            <w:noWrap/>
            <w:vAlign w:val="bottom"/>
            <w:hideMark/>
          </w:tcPr>
          <w:p w14:paraId="62564DBD"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23F12EF1"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76A2A0E0" w14:textId="77777777" w:rsidR="00FF7F31" w:rsidRDefault="00FF7F31">
            <w:pPr>
              <w:rPr>
                <w:rFonts w:ascii="Aptos Narrow" w:hAnsi="Aptos Narrow"/>
                <w:color w:val="000000"/>
              </w:rPr>
            </w:pPr>
            <w:r>
              <w:rPr>
                <w:rFonts w:ascii="Aptos Narrow" w:hAnsi="Aptos Narrow"/>
                <w:color w:val="000000"/>
              </w:rPr>
              <w:t> </w:t>
            </w:r>
          </w:p>
        </w:tc>
      </w:tr>
      <w:tr w:rsidR="00FF7F31" w14:paraId="6FA2B495" w14:textId="77777777" w:rsidTr="00FF7F31">
        <w:trPr>
          <w:trHeight w:val="963"/>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773E70B8" w14:textId="77777777" w:rsidR="00FF7F31" w:rsidRDefault="00FF7F31">
            <w:pPr>
              <w:rPr>
                <w:rFonts w:ascii="Aptos Narrow" w:hAnsi="Aptos Narrow"/>
                <w:color w:val="000000"/>
              </w:rPr>
            </w:pPr>
            <w:r>
              <w:rPr>
                <w:rFonts w:ascii="Aptos Narrow" w:hAnsi="Aptos Narrow"/>
                <w:color w:val="000000"/>
              </w:rPr>
              <w:t>Reports delivered within 10 business days post-testing, including identified risks and mitigation plans.</w:t>
            </w:r>
          </w:p>
        </w:tc>
        <w:tc>
          <w:tcPr>
            <w:tcW w:w="1399" w:type="dxa"/>
            <w:tcBorders>
              <w:top w:val="nil"/>
              <w:left w:val="nil"/>
              <w:bottom w:val="single" w:sz="4" w:space="0" w:color="auto"/>
              <w:right w:val="single" w:sz="4" w:space="0" w:color="auto"/>
            </w:tcBorders>
            <w:shd w:val="clear" w:color="auto" w:fill="auto"/>
            <w:noWrap/>
            <w:vAlign w:val="bottom"/>
            <w:hideMark/>
          </w:tcPr>
          <w:p w14:paraId="31774C90"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48C1049B"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2FDA9569" w14:textId="77777777" w:rsidR="00FF7F31" w:rsidRDefault="00FF7F31">
            <w:pPr>
              <w:rPr>
                <w:rFonts w:ascii="Aptos Narrow" w:hAnsi="Aptos Narrow"/>
                <w:color w:val="000000"/>
              </w:rPr>
            </w:pPr>
            <w:r>
              <w:rPr>
                <w:rFonts w:ascii="Aptos Narrow" w:hAnsi="Aptos Narrow"/>
                <w:color w:val="000000"/>
              </w:rPr>
              <w:t> </w:t>
            </w:r>
          </w:p>
        </w:tc>
      </w:tr>
      <w:tr w:rsidR="00FF7F31" w14:paraId="03E00F4D" w14:textId="77777777" w:rsidTr="00FF7F31">
        <w:trPr>
          <w:trHeight w:val="963"/>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4FF6B75B" w14:textId="77777777" w:rsidR="00FF7F31" w:rsidRDefault="00FF7F31">
            <w:pPr>
              <w:rPr>
                <w:rFonts w:ascii="Aptos Narrow" w:hAnsi="Aptos Narrow"/>
                <w:color w:val="000000"/>
              </w:rPr>
            </w:pPr>
            <w:r>
              <w:rPr>
                <w:rFonts w:ascii="Aptos Narrow" w:hAnsi="Aptos Narrow"/>
                <w:color w:val="000000"/>
              </w:rPr>
              <w:t>Critical vulnerabilities addressed within 25 days of identification, with penalties for delays in resolution.</w:t>
            </w:r>
          </w:p>
        </w:tc>
        <w:tc>
          <w:tcPr>
            <w:tcW w:w="1399" w:type="dxa"/>
            <w:tcBorders>
              <w:top w:val="nil"/>
              <w:left w:val="nil"/>
              <w:bottom w:val="single" w:sz="4" w:space="0" w:color="auto"/>
              <w:right w:val="single" w:sz="4" w:space="0" w:color="auto"/>
            </w:tcBorders>
            <w:shd w:val="clear" w:color="auto" w:fill="auto"/>
            <w:noWrap/>
            <w:vAlign w:val="bottom"/>
            <w:hideMark/>
          </w:tcPr>
          <w:p w14:paraId="46E5083B"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5B79A808"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65302A9F" w14:textId="77777777" w:rsidR="00FF7F31" w:rsidRDefault="00FF7F31">
            <w:pPr>
              <w:rPr>
                <w:rFonts w:ascii="Aptos Narrow" w:hAnsi="Aptos Narrow"/>
                <w:color w:val="000000"/>
              </w:rPr>
            </w:pPr>
            <w:r>
              <w:rPr>
                <w:rFonts w:ascii="Aptos Narrow" w:hAnsi="Aptos Narrow"/>
                <w:color w:val="000000"/>
              </w:rPr>
              <w:t> </w:t>
            </w:r>
          </w:p>
        </w:tc>
      </w:tr>
      <w:tr w:rsidR="00FF7F31" w14:paraId="7D466BFF" w14:textId="77777777" w:rsidTr="00FF7F31">
        <w:trPr>
          <w:trHeight w:val="963"/>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45B7A1EA" w14:textId="77777777" w:rsidR="00FF7F31" w:rsidRDefault="00FF7F31">
            <w:pPr>
              <w:rPr>
                <w:rFonts w:ascii="Aptos Narrow" w:hAnsi="Aptos Narrow"/>
                <w:color w:val="000000"/>
              </w:rPr>
            </w:pPr>
            <w:r>
              <w:rPr>
                <w:rFonts w:ascii="Aptos Narrow" w:hAnsi="Aptos Narrow"/>
                <w:color w:val="000000"/>
              </w:rPr>
              <w:t>The system must detect critical incidents (e.g., security breaches, service outages) within 5 minutes of occurrence.</w:t>
            </w:r>
          </w:p>
        </w:tc>
        <w:tc>
          <w:tcPr>
            <w:tcW w:w="1399" w:type="dxa"/>
            <w:tcBorders>
              <w:top w:val="nil"/>
              <w:left w:val="nil"/>
              <w:bottom w:val="single" w:sz="4" w:space="0" w:color="auto"/>
              <w:right w:val="single" w:sz="4" w:space="0" w:color="auto"/>
            </w:tcBorders>
            <w:shd w:val="clear" w:color="auto" w:fill="auto"/>
            <w:noWrap/>
            <w:vAlign w:val="bottom"/>
            <w:hideMark/>
          </w:tcPr>
          <w:p w14:paraId="30CB568A"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03C3BF62"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0791BE83" w14:textId="77777777" w:rsidR="00FF7F31" w:rsidRDefault="00FF7F31">
            <w:pPr>
              <w:rPr>
                <w:rFonts w:ascii="Aptos Narrow" w:hAnsi="Aptos Narrow"/>
                <w:color w:val="000000"/>
              </w:rPr>
            </w:pPr>
            <w:r>
              <w:rPr>
                <w:rFonts w:ascii="Aptos Narrow" w:hAnsi="Aptos Narrow"/>
                <w:color w:val="000000"/>
              </w:rPr>
              <w:t> </w:t>
            </w:r>
          </w:p>
        </w:tc>
      </w:tr>
      <w:tr w:rsidR="00FF7F31" w14:paraId="2333D09A"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11AA0FA0" w14:textId="77777777" w:rsidR="00FF7F31" w:rsidRDefault="00FF7F31">
            <w:pPr>
              <w:rPr>
                <w:rFonts w:ascii="Aptos Narrow" w:hAnsi="Aptos Narrow"/>
                <w:color w:val="000000"/>
              </w:rPr>
            </w:pPr>
            <w:r>
              <w:rPr>
                <w:rFonts w:ascii="Aptos Narrow" w:hAnsi="Aptos Narrow"/>
                <w:color w:val="000000"/>
              </w:rPr>
              <w:t>Acknowledgment of critical incidents within 15 minutes of detection.</w:t>
            </w:r>
          </w:p>
        </w:tc>
        <w:tc>
          <w:tcPr>
            <w:tcW w:w="1399" w:type="dxa"/>
            <w:tcBorders>
              <w:top w:val="nil"/>
              <w:left w:val="nil"/>
              <w:bottom w:val="single" w:sz="4" w:space="0" w:color="auto"/>
              <w:right w:val="single" w:sz="4" w:space="0" w:color="auto"/>
            </w:tcBorders>
            <w:shd w:val="clear" w:color="auto" w:fill="auto"/>
            <w:noWrap/>
            <w:vAlign w:val="bottom"/>
            <w:hideMark/>
          </w:tcPr>
          <w:p w14:paraId="44261583"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041418C3"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12069FF9" w14:textId="77777777" w:rsidR="00FF7F31" w:rsidRDefault="00FF7F31">
            <w:pPr>
              <w:rPr>
                <w:rFonts w:ascii="Aptos Narrow" w:hAnsi="Aptos Narrow"/>
                <w:color w:val="000000"/>
              </w:rPr>
            </w:pPr>
            <w:r>
              <w:rPr>
                <w:rFonts w:ascii="Aptos Narrow" w:hAnsi="Aptos Narrow"/>
                <w:color w:val="000000"/>
              </w:rPr>
              <w:t> </w:t>
            </w:r>
          </w:p>
        </w:tc>
      </w:tr>
      <w:tr w:rsidR="00FF7F31" w14:paraId="5B5C5B32" w14:textId="77777777" w:rsidTr="00FF7F31">
        <w:trPr>
          <w:trHeight w:val="963"/>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15D65FD1" w14:textId="77777777" w:rsidR="00FF7F31" w:rsidRDefault="00FF7F31">
            <w:pPr>
              <w:rPr>
                <w:rFonts w:ascii="Aptos Narrow" w:hAnsi="Aptos Narrow"/>
                <w:color w:val="000000"/>
              </w:rPr>
            </w:pPr>
            <w:r>
              <w:rPr>
                <w:rFonts w:ascii="Aptos Narrow" w:hAnsi="Aptos Narrow"/>
                <w:color w:val="000000"/>
              </w:rPr>
              <w:lastRenderedPageBreak/>
              <w:t>High Priority Incidents (e.g., cybersecurity breach, critical network downtime): Resolution or mitigation within 2 hours.</w:t>
            </w:r>
          </w:p>
        </w:tc>
        <w:tc>
          <w:tcPr>
            <w:tcW w:w="1399" w:type="dxa"/>
            <w:tcBorders>
              <w:top w:val="nil"/>
              <w:left w:val="nil"/>
              <w:bottom w:val="single" w:sz="4" w:space="0" w:color="auto"/>
              <w:right w:val="single" w:sz="4" w:space="0" w:color="auto"/>
            </w:tcBorders>
            <w:shd w:val="clear" w:color="auto" w:fill="auto"/>
            <w:noWrap/>
            <w:vAlign w:val="bottom"/>
            <w:hideMark/>
          </w:tcPr>
          <w:p w14:paraId="5C268D6C"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4E0C406D"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4710676B" w14:textId="77777777" w:rsidR="00FF7F31" w:rsidRDefault="00FF7F31">
            <w:pPr>
              <w:rPr>
                <w:rFonts w:ascii="Aptos Narrow" w:hAnsi="Aptos Narrow"/>
                <w:color w:val="000000"/>
              </w:rPr>
            </w:pPr>
            <w:r>
              <w:rPr>
                <w:rFonts w:ascii="Aptos Narrow" w:hAnsi="Aptos Narrow"/>
                <w:color w:val="000000"/>
              </w:rPr>
              <w:t> </w:t>
            </w:r>
          </w:p>
        </w:tc>
      </w:tr>
      <w:tr w:rsidR="00FF7F31" w14:paraId="2C3465DF" w14:textId="77777777" w:rsidTr="00FF7F31">
        <w:trPr>
          <w:trHeight w:val="963"/>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01237984" w14:textId="77777777" w:rsidR="00FF7F31" w:rsidRDefault="00FF7F31">
            <w:pPr>
              <w:rPr>
                <w:rFonts w:ascii="Aptos Narrow" w:hAnsi="Aptos Narrow"/>
                <w:color w:val="000000"/>
              </w:rPr>
            </w:pPr>
            <w:r>
              <w:rPr>
                <w:rFonts w:ascii="Aptos Narrow" w:hAnsi="Aptos Narrow"/>
                <w:color w:val="000000"/>
              </w:rPr>
              <w:t>Medium Priority Incidents (e.g., non-critical system performance issues): Resolution or mitigation within 6 hours.</w:t>
            </w:r>
          </w:p>
        </w:tc>
        <w:tc>
          <w:tcPr>
            <w:tcW w:w="1399" w:type="dxa"/>
            <w:tcBorders>
              <w:top w:val="nil"/>
              <w:left w:val="nil"/>
              <w:bottom w:val="single" w:sz="4" w:space="0" w:color="auto"/>
              <w:right w:val="single" w:sz="4" w:space="0" w:color="auto"/>
            </w:tcBorders>
            <w:shd w:val="clear" w:color="auto" w:fill="auto"/>
            <w:noWrap/>
            <w:vAlign w:val="bottom"/>
            <w:hideMark/>
          </w:tcPr>
          <w:p w14:paraId="48F96317"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225B54A8"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24CB742B" w14:textId="77777777" w:rsidR="00FF7F31" w:rsidRDefault="00FF7F31">
            <w:pPr>
              <w:rPr>
                <w:rFonts w:ascii="Aptos Narrow" w:hAnsi="Aptos Narrow"/>
                <w:color w:val="000000"/>
              </w:rPr>
            </w:pPr>
            <w:r>
              <w:rPr>
                <w:rFonts w:ascii="Aptos Narrow" w:hAnsi="Aptos Narrow"/>
                <w:color w:val="000000"/>
              </w:rPr>
              <w:t> </w:t>
            </w:r>
          </w:p>
        </w:tc>
      </w:tr>
      <w:tr w:rsidR="00FF7F31" w14:paraId="3F1AC31D" w14:textId="77777777" w:rsidTr="00FF7F31">
        <w:trPr>
          <w:trHeight w:val="963"/>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7134E417" w14:textId="77777777" w:rsidR="00FF7F31" w:rsidRDefault="00FF7F31">
            <w:pPr>
              <w:rPr>
                <w:rFonts w:ascii="Aptos Narrow" w:hAnsi="Aptos Narrow"/>
                <w:color w:val="000000"/>
              </w:rPr>
            </w:pPr>
            <w:r>
              <w:rPr>
                <w:rFonts w:ascii="Aptos Narrow" w:hAnsi="Aptos Narrow"/>
                <w:color w:val="000000"/>
              </w:rPr>
              <w:t>Low Priority Incidents (e.g., minor issues with no immediate impact on operations): Resolution within 24 hours.</w:t>
            </w:r>
          </w:p>
        </w:tc>
        <w:tc>
          <w:tcPr>
            <w:tcW w:w="1399" w:type="dxa"/>
            <w:tcBorders>
              <w:top w:val="nil"/>
              <w:left w:val="nil"/>
              <w:bottom w:val="single" w:sz="4" w:space="0" w:color="auto"/>
              <w:right w:val="single" w:sz="4" w:space="0" w:color="auto"/>
            </w:tcBorders>
            <w:shd w:val="clear" w:color="auto" w:fill="auto"/>
            <w:noWrap/>
            <w:vAlign w:val="bottom"/>
            <w:hideMark/>
          </w:tcPr>
          <w:p w14:paraId="151F3C85"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6A617F06"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3952F8AC" w14:textId="77777777" w:rsidR="00FF7F31" w:rsidRDefault="00FF7F31">
            <w:pPr>
              <w:rPr>
                <w:rFonts w:ascii="Aptos Narrow" w:hAnsi="Aptos Narrow"/>
                <w:color w:val="000000"/>
              </w:rPr>
            </w:pPr>
            <w:r>
              <w:rPr>
                <w:rFonts w:ascii="Aptos Narrow" w:hAnsi="Aptos Narrow"/>
                <w:color w:val="000000"/>
              </w:rPr>
              <w:t> </w:t>
            </w:r>
          </w:p>
        </w:tc>
      </w:tr>
      <w:tr w:rsidR="00FF7F31" w14:paraId="486D1D4C" w14:textId="77777777" w:rsidTr="00FF7F31">
        <w:trPr>
          <w:trHeight w:val="359"/>
        </w:trPr>
        <w:tc>
          <w:tcPr>
            <w:tcW w:w="10395" w:type="dxa"/>
            <w:gridSpan w:val="4"/>
            <w:tcBorders>
              <w:top w:val="single" w:sz="4" w:space="0" w:color="auto"/>
              <w:left w:val="single" w:sz="4" w:space="0" w:color="auto"/>
              <w:bottom w:val="single" w:sz="4" w:space="0" w:color="auto"/>
              <w:right w:val="single" w:sz="4" w:space="0" w:color="000000"/>
            </w:tcBorders>
            <w:shd w:val="clear" w:color="000000" w:fill="C1F0C8"/>
            <w:vAlign w:val="center"/>
            <w:hideMark/>
          </w:tcPr>
          <w:p w14:paraId="00BC0735" w14:textId="77777777" w:rsidR="00FF7F31" w:rsidRDefault="00FF7F31">
            <w:pPr>
              <w:rPr>
                <w:rFonts w:ascii="Aptos Narrow" w:hAnsi="Aptos Narrow"/>
                <w:b/>
                <w:bCs/>
                <w:color w:val="000000"/>
                <w:sz w:val="28"/>
                <w:szCs w:val="28"/>
              </w:rPr>
            </w:pPr>
            <w:r>
              <w:rPr>
                <w:rFonts w:ascii="Aptos Narrow" w:hAnsi="Aptos Narrow"/>
                <w:b/>
                <w:bCs/>
                <w:color w:val="000000"/>
                <w:sz w:val="28"/>
                <w:szCs w:val="28"/>
              </w:rPr>
              <w:t>Security Features and Compliance</w:t>
            </w:r>
          </w:p>
        </w:tc>
      </w:tr>
      <w:tr w:rsidR="00FF7F31" w14:paraId="6BF01D2A"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1D09CA6C" w14:textId="77777777" w:rsidR="00FF7F31" w:rsidRDefault="00FF7F31">
            <w:pPr>
              <w:rPr>
                <w:rFonts w:ascii="Aptos Narrow" w:hAnsi="Aptos Narrow"/>
                <w:color w:val="000000"/>
              </w:rPr>
            </w:pPr>
            <w:r>
              <w:rPr>
                <w:rFonts w:ascii="Aptos Narrow" w:hAnsi="Aptos Narrow"/>
                <w:color w:val="000000"/>
              </w:rPr>
              <w:t>Robust incident management with defined detection, escalation, and resolution workflows.</w:t>
            </w:r>
          </w:p>
        </w:tc>
        <w:tc>
          <w:tcPr>
            <w:tcW w:w="1399" w:type="dxa"/>
            <w:tcBorders>
              <w:top w:val="nil"/>
              <w:left w:val="nil"/>
              <w:bottom w:val="single" w:sz="4" w:space="0" w:color="auto"/>
              <w:right w:val="single" w:sz="4" w:space="0" w:color="auto"/>
            </w:tcBorders>
            <w:shd w:val="clear" w:color="auto" w:fill="auto"/>
            <w:noWrap/>
            <w:vAlign w:val="bottom"/>
            <w:hideMark/>
          </w:tcPr>
          <w:p w14:paraId="1BA76010"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7F1CFC95"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1612D7DE" w14:textId="77777777" w:rsidR="00FF7F31" w:rsidRDefault="00FF7F31">
            <w:pPr>
              <w:rPr>
                <w:rFonts w:ascii="Aptos Narrow" w:hAnsi="Aptos Narrow"/>
                <w:color w:val="000000"/>
              </w:rPr>
            </w:pPr>
            <w:r>
              <w:rPr>
                <w:rFonts w:ascii="Aptos Narrow" w:hAnsi="Aptos Narrow"/>
                <w:color w:val="000000"/>
              </w:rPr>
              <w:t> </w:t>
            </w:r>
          </w:p>
        </w:tc>
      </w:tr>
      <w:tr w:rsidR="00FF7F31" w14:paraId="0C3978EF" w14:textId="77777777" w:rsidTr="00FF7F31">
        <w:trPr>
          <w:trHeight w:val="963"/>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759BB2F7" w14:textId="77777777" w:rsidR="00FF7F31" w:rsidRDefault="00FF7F31">
            <w:pPr>
              <w:rPr>
                <w:rFonts w:ascii="Aptos Narrow" w:hAnsi="Aptos Narrow"/>
                <w:color w:val="000000"/>
              </w:rPr>
            </w:pPr>
            <w:r>
              <w:rPr>
                <w:rFonts w:ascii="Aptos Narrow" w:hAnsi="Aptos Narrow"/>
                <w:color w:val="000000"/>
              </w:rPr>
              <w:t>Integration with Security Information and Event Management (SIEM) for real-time threat detection.</w:t>
            </w:r>
          </w:p>
        </w:tc>
        <w:tc>
          <w:tcPr>
            <w:tcW w:w="1399" w:type="dxa"/>
            <w:tcBorders>
              <w:top w:val="nil"/>
              <w:left w:val="nil"/>
              <w:bottom w:val="single" w:sz="4" w:space="0" w:color="auto"/>
              <w:right w:val="single" w:sz="4" w:space="0" w:color="auto"/>
            </w:tcBorders>
            <w:shd w:val="clear" w:color="auto" w:fill="auto"/>
            <w:noWrap/>
            <w:vAlign w:val="bottom"/>
            <w:hideMark/>
          </w:tcPr>
          <w:p w14:paraId="712D9E58"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7E209678"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43396737" w14:textId="77777777" w:rsidR="00FF7F31" w:rsidRDefault="00FF7F31">
            <w:pPr>
              <w:rPr>
                <w:rFonts w:ascii="Aptos Narrow" w:hAnsi="Aptos Narrow"/>
                <w:color w:val="000000"/>
              </w:rPr>
            </w:pPr>
            <w:r>
              <w:rPr>
                <w:rFonts w:ascii="Aptos Narrow" w:hAnsi="Aptos Narrow"/>
                <w:color w:val="000000"/>
              </w:rPr>
              <w:t> </w:t>
            </w:r>
          </w:p>
        </w:tc>
      </w:tr>
      <w:tr w:rsidR="00FF7F31" w14:paraId="52ADC9D8"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13E11509" w14:textId="77777777" w:rsidR="00FF7F31" w:rsidRDefault="00FF7F31">
            <w:pPr>
              <w:rPr>
                <w:rFonts w:ascii="Aptos Narrow" w:hAnsi="Aptos Narrow"/>
                <w:color w:val="000000"/>
              </w:rPr>
            </w:pPr>
            <w:r>
              <w:rPr>
                <w:rFonts w:ascii="Aptos Narrow" w:hAnsi="Aptos Narrow"/>
                <w:color w:val="000000"/>
              </w:rPr>
              <w:t>Regular vulnerability assessments and automated reporting of risks.</w:t>
            </w:r>
          </w:p>
        </w:tc>
        <w:tc>
          <w:tcPr>
            <w:tcW w:w="1399" w:type="dxa"/>
            <w:tcBorders>
              <w:top w:val="nil"/>
              <w:left w:val="nil"/>
              <w:bottom w:val="single" w:sz="4" w:space="0" w:color="auto"/>
              <w:right w:val="single" w:sz="4" w:space="0" w:color="auto"/>
            </w:tcBorders>
            <w:shd w:val="clear" w:color="auto" w:fill="auto"/>
            <w:noWrap/>
            <w:vAlign w:val="bottom"/>
            <w:hideMark/>
          </w:tcPr>
          <w:p w14:paraId="3CF0B431"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793D7EEF"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473B8D70" w14:textId="77777777" w:rsidR="00FF7F31" w:rsidRDefault="00FF7F31">
            <w:pPr>
              <w:rPr>
                <w:rFonts w:ascii="Aptos Narrow" w:hAnsi="Aptos Narrow"/>
                <w:color w:val="000000"/>
              </w:rPr>
            </w:pPr>
            <w:r>
              <w:rPr>
                <w:rFonts w:ascii="Aptos Narrow" w:hAnsi="Aptos Narrow"/>
                <w:color w:val="000000"/>
              </w:rPr>
              <w:t> </w:t>
            </w:r>
          </w:p>
        </w:tc>
      </w:tr>
      <w:tr w:rsidR="00FF7F31" w14:paraId="424A10F5"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70253A3C" w14:textId="77777777" w:rsidR="00FF7F31" w:rsidRDefault="00FF7F31">
            <w:pPr>
              <w:rPr>
                <w:rFonts w:ascii="Aptos Narrow" w:hAnsi="Aptos Narrow"/>
                <w:color w:val="000000"/>
              </w:rPr>
            </w:pPr>
            <w:r>
              <w:rPr>
                <w:rFonts w:ascii="Aptos Narrow" w:hAnsi="Aptos Narrow"/>
                <w:color w:val="000000"/>
              </w:rPr>
              <w:t>Full compliance with ISO 27001, GDPR, HIPAA, and NIST standards.</w:t>
            </w:r>
          </w:p>
        </w:tc>
        <w:tc>
          <w:tcPr>
            <w:tcW w:w="1399" w:type="dxa"/>
            <w:tcBorders>
              <w:top w:val="nil"/>
              <w:left w:val="nil"/>
              <w:bottom w:val="single" w:sz="4" w:space="0" w:color="auto"/>
              <w:right w:val="single" w:sz="4" w:space="0" w:color="auto"/>
            </w:tcBorders>
            <w:shd w:val="clear" w:color="auto" w:fill="auto"/>
            <w:noWrap/>
            <w:vAlign w:val="bottom"/>
            <w:hideMark/>
          </w:tcPr>
          <w:p w14:paraId="5F37F6AC"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00FF0D77"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53B42DB3" w14:textId="77777777" w:rsidR="00FF7F31" w:rsidRDefault="00FF7F31">
            <w:pPr>
              <w:rPr>
                <w:rFonts w:ascii="Aptos Narrow" w:hAnsi="Aptos Narrow"/>
                <w:color w:val="000000"/>
              </w:rPr>
            </w:pPr>
            <w:r>
              <w:rPr>
                <w:rFonts w:ascii="Aptos Narrow" w:hAnsi="Aptos Narrow"/>
                <w:color w:val="000000"/>
              </w:rPr>
              <w:t> </w:t>
            </w:r>
          </w:p>
        </w:tc>
      </w:tr>
      <w:tr w:rsidR="00FF7F31" w14:paraId="01571237" w14:textId="77777777" w:rsidTr="00FF7F31">
        <w:trPr>
          <w:trHeight w:val="359"/>
        </w:trPr>
        <w:tc>
          <w:tcPr>
            <w:tcW w:w="10395" w:type="dxa"/>
            <w:gridSpan w:val="4"/>
            <w:tcBorders>
              <w:top w:val="single" w:sz="4" w:space="0" w:color="auto"/>
              <w:left w:val="single" w:sz="4" w:space="0" w:color="auto"/>
              <w:bottom w:val="single" w:sz="4" w:space="0" w:color="auto"/>
              <w:right w:val="single" w:sz="4" w:space="0" w:color="000000"/>
            </w:tcBorders>
            <w:shd w:val="clear" w:color="000000" w:fill="C1F0C8"/>
            <w:vAlign w:val="center"/>
            <w:hideMark/>
          </w:tcPr>
          <w:p w14:paraId="2E795FA5" w14:textId="77777777" w:rsidR="00FF7F31" w:rsidRDefault="00FF7F31">
            <w:pPr>
              <w:rPr>
                <w:rFonts w:ascii="Aptos Narrow" w:hAnsi="Aptos Narrow"/>
                <w:b/>
                <w:bCs/>
                <w:color w:val="000000"/>
                <w:sz w:val="28"/>
                <w:szCs w:val="28"/>
              </w:rPr>
            </w:pPr>
            <w:r>
              <w:rPr>
                <w:rFonts w:ascii="Aptos Narrow" w:hAnsi="Aptos Narrow"/>
                <w:b/>
                <w:bCs/>
                <w:color w:val="000000"/>
                <w:sz w:val="28"/>
                <w:szCs w:val="28"/>
              </w:rPr>
              <w:t>Monitoring Features</w:t>
            </w:r>
          </w:p>
        </w:tc>
      </w:tr>
      <w:tr w:rsidR="00FF7F31" w14:paraId="3282E905"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04627039" w14:textId="77777777" w:rsidR="00FF7F31" w:rsidRDefault="00FF7F31">
            <w:pPr>
              <w:rPr>
                <w:rFonts w:ascii="Aptos Narrow" w:hAnsi="Aptos Narrow"/>
                <w:color w:val="000000"/>
              </w:rPr>
            </w:pPr>
            <w:r>
              <w:rPr>
                <w:rFonts w:ascii="Aptos Narrow" w:hAnsi="Aptos Narrow"/>
                <w:color w:val="000000"/>
              </w:rPr>
              <w:t>24/7 monitoring of all network devices, servers, and telecommunication systems.</w:t>
            </w:r>
          </w:p>
        </w:tc>
        <w:tc>
          <w:tcPr>
            <w:tcW w:w="1399" w:type="dxa"/>
            <w:tcBorders>
              <w:top w:val="nil"/>
              <w:left w:val="nil"/>
              <w:bottom w:val="single" w:sz="4" w:space="0" w:color="auto"/>
              <w:right w:val="single" w:sz="4" w:space="0" w:color="auto"/>
            </w:tcBorders>
            <w:shd w:val="clear" w:color="auto" w:fill="auto"/>
            <w:noWrap/>
            <w:vAlign w:val="bottom"/>
            <w:hideMark/>
          </w:tcPr>
          <w:p w14:paraId="4F77DC93"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4455DCA4"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2CFE4AA8" w14:textId="77777777" w:rsidR="00FF7F31" w:rsidRDefault="00FF7F31">
            <w:pPr>
              <w:rPr>
                <w:rFonts w:ascii="Aptos Narrow" w:hAnsi="Aptos Narrow"/>
                <w:color w:val="000000"/>
              </w:rPr>
            </w:pPr>
            <w:r>
              <w:rPr>
                <w:rFonts w:ascii="Aptos Narrow" w:hAnsi="Aptos Narrow"/>
                <w:color w:val="000000"/>
              </w:rPr>
              <w:t> </w:t>
            </w:r>
          </w:p>
        </w:tc>
      </w:tr>
      <w:tr w:rsidR="00FF7F31" w14:paraId="3AEFD545"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6332446C" w14:textId="77777777" w:rsidR="00FF7F31" w:rsidRDefault="00FF7F31">
            <w:pPr>
              <w:rPr>
                <w:rFonts w:ascii="Aptos Narrow" w:hAnsi="Aptos Narrow"/>
                <w:color w:val="000000"/>
              </w:rPr>
            </w:pPr>
            <w:r>
              <w:rPr>
                <w:rFonts w:ascii="Aptos Narrow" w:hAnsi="Aptos Narrow"/>
                <w:color w:val="000000"/>
              </w:rPr>
              <w:t>Configurable alerts for performance, security, and environmental anomalies.</w:t>
            </w:r>
          </w:p>
        </w:tc>
        <w:tc>
          <w:tcPr>
            <w:tcW w:w="1399" w:type="dxa"/>
            <w:tcBorders>
              <w:top w:val="nil"/>
              <w:left w:val="nil"/>
              <w:bottom w:val="single" w:sz="4" w:space="0" w:color="auto"/>
              <w:right w:val="single" w:sz="4" w:space="0" w:color="auto"/>
            </w:tcBorders>
            <w:shd w:val="clear" w:color="auto" w:fill="auto"/>
            <w:noWrap/>
            <w:vAlign w:val="bottom"/>
            <w:hideMark/>
          </w:tcPr>
          <w:p w14:paraId="1A77DABF"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030FA05D"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0987D480" w14:textId="77777777" w:rsidR="00FF7F31" w:rsidRDefault="00FF7F31">
            <w:pPr>
              <w:rPr>
                <w:rFonts w:ascii="Aptos Narrow" w:hAnsi="Aptos Narrow"/>
                <w:color w:val="000000"/>
              </w:rPr>
            </w:pPr>
            <w:r>
              <w:rPr>
                <w:rFonts w:ascii="Aptos Narrow" w:hAnsi="Aptos Narrow"/>
                <w:color w:val="000000"/>
              </w:rPr>
              <w:t> </w:t>
            </w:r>
          </w:p>
        </w:tc>
      </w:tr>
      <w:tr w:rsidR="00FF7F31" w14:paraId="7400BAAC" w14:textId="77777777" w:rsidTr="00FF7F31">
        <w:trPr>
          <w:trHeight w:val="963"/>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1DD58D54" w14:textId="77777777" w:rsidR="00FF7F31" w:rsidRDefault="00FF7F31">
            <w:pPr>
              <w:rPr>
                <w:rFonts w:ascii="Aptos Narrow" w:hAnsi="Aptos Narrow"/>
                <w:color w:val="000000"/>
              </w:rPr>
            </w:pPr>
            <w:r>
              <w:rPr>
                <w:rFonts w:ascii="Aptos Narrow" w:hAnsi="Aptos Narrow"/>
                <w:color w:val="000000"/>
              </w:rPr>
              <w:t>Tool to assist experts in identifying the root cause of incidents (manual intervention required).</w:t>
            </w:r>
          </w:p>
        </w:tc>
        <w:tc>
          <w:tcPr>
            <w:tcW w:w="1399" w:type="dxa"/>
            <w:tcBorders>
              <w:top w:val="nil"/>
              <w:left w:val="nil"/>
              <w:bottom w:val="single" w:sz="4" w:space="0" w:color="auto"/>
              <w:right w:val="single" w:sz="4" w:space="0" w:color="auto"/>
            </w:tcBorders>
            <w:shd w:val="clear" w:color="auto" w:fill="auto"/>
            <w:noWrap/>
            <w:vAlign w:val="bottom"/>
            <w:hideMark/>
          </w:tcPr>
          <w:p w14:paraId="249B8ED5"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7EC34782"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249B4708" w14:textId="77777777" w:rsidR="00FF7F31" w:rsidRDefault="00FF7F31">
            <w:pPr>
              <w:rPr>
                <w:rFonts w:ascii="Aptos Narrow" w:hAnsi="Aptos Narrow"/>
                <w:color w:val="000000"/>
              </w:rPr>
            </w:pPr>
            <w:r>
              <w:rPr>
                <w:rFonts w:ascii="Aptos Narrow" w:hAnsi="Aptos Narrow"/>
                <w:color w:val="000000"/>
              </w:rPr>
              <w:t> </w:t>
            </w:r>
          </w:p>
        </w:tc>
      </w:tr>
      <w:tr w:rsidR="00FF7F31" w14:paraId="48688D21"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5B063E3C" w14:textId="77777777" w:rsidR="00FF7F31" w:rsidRDefault="00FF7F31">
            <w:pPr>
              <w:rPr>
                <w:rFonts w:ascii="Aptos Narrow" w:hAnsi="Aptos Narrow"/>
                <w:color w:val="000000"/>
              </w:rPr>
            </w:pPr>
            <w:r>
              <w:rPr>
                <w:rFonts w:ascii="Aptos Narrow" w:hAnsi="Aptos Narrow"/>
                <w:color w:val="000000"/>
              </w:rPr>
              <w:t>Support for monitoring multiple LRC sites, including remote offices and field locations.</w:t>
            </w:r>
          </w:p>
        </w:tc>
        <w:tc>
          <w:tcPr>
            <w:tcW w:w="1399" w:type="dxa"/>
            <w:tcBorders>
              <w:top w:val="nil"/>
              <w:left w:val="nil"/>
              <w:bottom w:val="single" w:sz="4" w:space="0" w:color="auto"/>
              <w:right w:val="single" w:sz="4" w:space="0" w:color="auto"/>
            </w:tcBorders>
            <w:shd w:val="clear" w:color="auto" w:fill="auto"/>
            <w:noWrap/>
            <w:vAlign w:val="bottom"/>
            <w:hideMark/>
          </w:tcPr>
          <w:p w14:paraId="198E7744"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09821BA9"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5F6BDF76" w14:textId="77777777" w:rsidR="00FF7F31" w:rsidRDefault="00FF7F31">
            <w:pPr>
              <w:rPr>
                <w:rFonts w:ascii="Aptos Narrow" w:hAnsi="Aptos Narrow"/>
                <w:color w:val="000000"/>
              </w:rPr>
            </w:pPr>
            <w:r>
              <w:rPr>
                <w:rFonts w:ascii="Aptos Narrow" w:hAnsi="Aptos Narrow"/>
                <w:color w:val="000000"/>
              </w:rPr>
              <w:t> </w:t>
            </w:r>
          </w:p>
        </w:tc>
      </w:tr>
      <w:tr w:rsidR="00FF7F31" w14:paraId="5353BAE9" w14:textId="77777777" w:rsidTr="00FF7F31">
        <w:trPr>
          <w:trHeight w:val="359"/>
        </w:trPr>
        <w:tc>
          <w:tcPr>
            <w:tcW w:w="10395" w:type="dxa"/>
            <w:gridSpan w:val="4"/>
            <w:tcBorders>
              <w:top w:val="single" w:sz="4" w:space="0" w:color="auto"/>
              <w:left w:val="single" w:sz="4" w:space="0" w:color="auto"/>
              <w:bottom w:val="single" w:sz="4" w:space="0" w:color="auto"/>
              <w:right w:val="single" w:sz="4" w:space="0" w:color="000000"/>
            </w:tcBorders>
            <w:shd w:val="clear" w:color="000000" w:fill="C1F0C8"/>
            <w:vAlign w:val="center"/>
            <w:hideMark/>
          </w:tcPr>
          <w:p w14:paraId="6DFB0DF7" w14:textId="77777777" w:rsidR="00FF7F31" w:rsidRDefault="00FF7F31">
            <w:pPr>
              <w:rPr>
                <w:rFonts w:ascii="Aptos Narrow" w:hAnsi="Aptos Narrow"/>
                <w:b/>
                <w:bCs/>
                <w:color w:val="000000"/>
                <w:sz w:val="28"/>
                <w:szCs w:val="28"/>
              </w:rPr>
            </w:pPr>
            <w:r>
              <w:rPr>
                <w:rFonts w:ascii="Aptos Narrow" w:hAnsi="Aptos Narrow"/>
                <w:b/>
                <w:bCs/>
                <w:color w:val="000000"/>
                <w:sz w:val="28"/>
                <w:szCs w:val="28"/>
              </w:rPr>
              <w:t>Scalability and Future Expansion</w:t>
            </w:r>
          </w:p>
        </w:tc>
      </w:tr>
      <w:tr w:rsidR="00FF7F31" w14:paraId="774A53CA"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4E3651FD" w14:textId="77777777" w:rsidR="00FF7F31" w:rsidRDefault="00FF7F31">
            <w:pPr>
              <w:rPr>
                <w:rFonts w:ascii="Aptos Narrow" w:hAnsi="Aptos Narrow"/>
                <w:color w:val="000000"/>
              </w:rPr>
            </w:pPr>
            <w:r>
              <w:rPr>
                <w:rFonts w:ascii="Aptos Narrow" w:hAnsi="Aptos Narrow"/>
                <w:color w:val="000000"/>
              </w:rPr>
              <w:t>Ability to scale the platform to accommodate growth in sites, users, and infrastructure.</w:t>
            </w:r>
          </w:p>
        </w:tc>
        <w:tc>
          <w:tcPr>
            <w:tcW w:w="1399" w:type="dxa"/>
            <w:tcBorders>
              <w:top w:val="nil"/>
              <w:left w:val="nil"/>
              <w:bottom w:val="single" w:sz="4" w:space="0" w:color="auto"/>
              <w:right w:val="single" w:sz="4" w:space="0" w:color="auto"/>
            </w:tcBorders>
            <w:shd w:val="clear" w:color="auto" w:fill="auto"/>
            <w:noWrap/>
            <w:vAlign w:val="bottom"/>
            <w:hideMark/>
          </w:tcPr>
          <w:p w14:paraId="14F42C7B"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765B2ECA"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231EFFDC" w14:textId="77777777" w:rsidR="00FF7F31" w:rsidRDefault="00FF7F31">
            <w:pPr>
              <w:rPr>
                <w:rFonts w:ascii="Aptos Narrow" w:hAnsi="Aptos Narrow"/>
                <w:color w:val="000000"/>
              </w:rPr>
            </w:pPr>
            <w:r>
              <w:rPr>
                <w:rFonts w:ascii="Aptos Narrow" w:hAnsi="Aptos Narrow"/>
                <w:color w:val="000000"/>
              </w:rPr>
              <w:t> </w:t>
            </w:r>
          </w:p>
        </w:tc>
      </w:tr>
      <w:tr w:rsidR="00FF7F31" w14:paraId="5916AC96"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797D6769" w14:textId="77777777" w:rsidR="00FF7F31" w:rsidRDefault="00FF7F31">
            <w:pPr>
              <w:rPr>
                <w:rFonts w:ascii="Aptos Narrow" w:hAnsi="Aptos Narrow"/>
                <w:color w:val="000000"/>
              </w:rPr>
            </w:pPr>
            <w:r>
              <w:rPr>
                <w:rFonts w:ascii="Aptos Narrow" w:hAnsi="Aptos Narrow"/>
                <w:color w:val="000000"/>
              </w:rPr>
              <w:t>Capability to integrate with emerging technologies and future system upgrades.</w:t>
            </w:r>
          </w:p>
        </w:tc>
        <w:tc>
          <w:tcPr>
            <w:tcW w:w="1399" w:type="dxa"/>
            <w:tcBorders>
              <w:top w:val="nil"/>
              <w:left w:val="nil"/>
              <w:bottom w:val="single" w:sz="4" w:space="0" w:color="auto"/>
              <w:right w:val="single" w:sz="4" w:space="0" w:color="auto"/>
            </w:tcBorders>
            <w:shd w:val="clear" w:color="auto" w:fill="auto"/>
            <w:noWrap/>
            <w:vAlign w:val="bottom"/>
            <w:hideMark/>
          </w:tcPr>
          <w:p w14:paraId="5AF53116"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0B690245"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5688CC69" w14:textId="77777777" w:rsidR="00FF7F31" w:rsidRDefault="00FF7F31">
            <w:pPr>
              <w:rPr>
                <w:rFonts w:ascii="Aptos Narrow" w:hAnsi="Aptos Narrow"/>
                <w:color w:val="000000"/>
              </w:rPr>
            </w:pPr>
            <w:r>
              <w:rPr>
                <w:rFonts w:ascii="Aptos Narrow" w:hAnsi="Aptos Narrow"/>
                <w:color w:val="000000"/>
              </w:rPr>
              <w:t> </w:t>
            </w:r>
          </w:p>
        </w:tc>
      </w:tr>
      <w:tr w:rsidR="00FF7F31" w14:paraId="3D438F9B" w14:textId="77777777" w:rsidTr="00FF7F31">
        <w:trPr>
          <w:trHeight w:val="359"/>
        </w:trPr>
        <w:tc>
          <w:tcPr>
            <w:tcW w:w="10395" w:type="dxa"/>
            <w:gridSpan w:val="4"/>
            <w:tcBorders>
              <w:top w:val="single" w:sz="4" w:space="0" w:color="auto"/>
              <w:left w:val="single" w:sz="4" w:space="0" w:color="auto"/>
              <w:bottom w:val="single" w:sz="4" w:space="0" w:color="auto"/>
              <w:right w:val="single" w:sz="4" w:space="0" w:color="000000"/>
            </w:tcBorders>
            <w:shd w:val="clear" w:color="000000" w:fill="C1F0C8"/>
            <w:vAlign w:val="center"/>
            <w:hideMark/>
          </w:tcPr>
          <w:p w14:paraId="55E7EB87" w14:textId="77777777" w:rsidR="00FF7F31" w:rsidRDefault="00FF7F31">
            <w:pPr>
              <w:rPr>
                <w:rFonts w:ascii="Aptos Narrow" w:hAnsi="Aptos Narrow"/>
                <w:b/>
                <w:bCs/>
                <w:color w:val="000000"/>
                <w:sz w:val="28"/>
                <w:szCs w:val="28"/>
              </w:rPr>
            </w:pPr>
            <w:r>
              <w:rPr>
                <w:rFonts w:ascii="Aptos Narrow" w:hAnsi="Aptos Narrow"/>
                <w:b/>
                <w:bCs/>
                <w:color w:val="000000"/>
                <w:sz w:val="28"/>
                <w:szCs w:val="28"/>
              </w:rPr>
              <w:t>Disaster Recovery and Business Continuity</w:t>
            </w:r>
          </w:p>
        </w:tc>
      </w:tr>
      <w:tr w:rsidR="00FF7F31" w14:paraId="6750E89D"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63E906EC" w14:textId="77777777" w:rsidR="00FF7F31" w:rsidRDefault="00FF7F31">
            <w:pPr>
              <w:rPr>
                <w:rFonts w:ascii="Aptos Narrow" w:hAnsi="Aptos Narrow"/>
                <w:color w:val="000000"/>
              </w:rPr>
            </w:pPr>
            <w:r>
              <w:rPr>
                <w:rFonts w:ascii="Aptos Narrow" w:hAnsi="Aptos Narrow"/>
                <w:color w:val="000000"/>
              </w:rPr>
              <w:t>Development of comprehensive disaster recovery plans (DRP) with regular testing.</w:t>
            </w:r>
          </w:p>
        </w:tc>
        <w:tc>
          <w:tcPr>
            <w:tcW w:w="1399" w:type="dxa"/>
            <w:tcBorders>
              <w:top w:val="nil"/>
              <w:left w:val="nil"/>
              <w:bottom w:val="single" w:sz="4" w:space="0" w:color="auto"/>
              <w:right w:val="single" w:sz="4" w:space="0" w:color="auto"/>
            </w:tcBorders>
            <w:shd w:val="clear" w:color="auto" w:fill="auto"/>
            <w:noWrap/>
            <w:vAlign w:val="bottom"/>
            <w:hideMark/>
          </w:tcPr>
          <w:p w14:paraId="7DBB6EDC"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1A98FA0A"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79BD1EBB" w14:textId="77777777" w:rsidR="00FF7F31" w:rsidRDefault="00FF7F31">
            <w:pPr>
              <w:rPr>
                <w:rFonts w:ascii="Aptos Narrow" w:hAnsi="Aptos Narrow"/>
                <w:color w:val="000000"/>
              </w:rPr>
            </w:pPr>
            <w:r>
              <w:rPr>
                <w:rFonts w:ascii="Aptos Narrow" w:hAnsi="Aptos Narrow"/>
                <w:color w:val="000000"/>
              </w:rPr>
              <w:t> </w:t>
            </w:r>
          </w:p>
        </w:tc>
      </w:tr>
      <w:tr w:rsidR="00FF7F31" w14:paraId="08B3FCCF"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25F8B278" w14:textId="77777777" w:rsidR="00FF7F31" w:rsidRDefault="00FF7F31">
            <w:pPr>
              <w:rPr>
                <w:rFonts w:ascii="Aptos Narrow" w:hAnsi="Aptos Narrow"/>
                <w:color w:val="000000"/>
              </w:rPr>
            </w:pPr>
            <w:r>
              <w:rPr>
                <w:rFonts w:ascii="Aptos Narrow" w:hAnsi="Aptos Narrow"/>
                <w:color w:val="000000"/>
              </w:rPr>
              <w:t>Ongoing maintenance and testing of BCP to ensure uninterrupted critical operations.</w:t>
            </w:r>
          </w:p>
        </w:tc>
        <w:tc>
          <w:tcPr>
            <w:tcW w:w="1399" w:type="dxa"/>
            <w:tcBorders>
              <w:top w:val="nil"/>
              <w:left w:val="nil"/>
              <w:bottom w:val="single" w:sz="4" w:space="0" w:color="auto"/>
              <w:right w:val="single" w:sz="4" w:space="0" w:color="auto"/>
            </w:tcBorders>
            <w:shd w:val="clear" w:color="auto" w:fill="auto"/>
            <w:noWrap/>
            <w:vAlign w:val="bottom"/>
            <w:hideMark/>
          </w:tcPr>
          <w:p w14:paraId="50E35A7E"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3D1376C1"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2EBFA1EE" w14:textId="77777777" w:rsidR="00FF7F31" w:rsidRDefault="00FF7F31">
            <w:pPr>
              <w:rPr>
                <w:rFonts w:ascii="Aptos Narrow" w:hAnsi="Aptos Narrow"/>
                <w:color w:val="000000"/>
              </w:rPr>
            </w:pPr>
            <w:r>
              <w:rPr>
                <w:rFonts w:ascii="Aptos Narrow" w:hAnsi="Aptos Narrow"/>
                <w:color w:val="000000"/>
              </w:rPr>
              <w:t> </w:t>
            </w:r>
          </w:p>
        </w:tc>
      </w:tr>
      <w:tr w:rsidR="00FF7F31" w14:paraId="029A70CC" w14:textId="77777777" w:rsidTr="00FF7F31">
        <w:trPr>
          <w:trHeight w:val="321"/>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7BF64067" w14:textId="77777777" w:rsidR="00FF7F31" w:rsidRDefault="00FF7F31">
            <w:pPr>
              <w:rPr>
                <w:rFonts w:ascii="Aptos Narrow" w:hAnsi="Aptos Narrow"/>
                <w:color w:val="000000"/>
              </w:rPr>
            </w:pPr>
            <w:r>
              <w:rPr>
                <w:rFonts w:ascii="Aptos Narrow" w:hAnsi="Aptos Narrow"/>
                <w:color w:val="000000"/>
              </w:rPr>
              <w:t>Recovery Point Objective (RPO): 1 hour.</w:t>
            </w:r>
          </w:p>
        </w:tc>
        <w:tc>
          <w:tcPr>
            <w:tcW w:w="1399" w:type="dxa"/>
            <w:tcBorders>
              <w:top w:val="nil"/>
              <w:left w:val="nil"/>
              <w:bottom w:val="single" w:sz="4" w:space="0" w:color="auto"/>
              <w:right w:val="single" w:sz="4" w:space="0" w:color="auto"/>
            </w:tcBorders>
            <w:shd w:val="clear" w:color="auto" w:fill="auto"/>
            <w:noWrap/>
            <w:vAlign w:val="bottom"/>
            <w:hideMark/>
          </w:tcPr>
          <w:p w14:paraId="311199E4"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0B499E04"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223FBF4B" w14:textId="77777777" w:rsidR="00FF7F31" w:rsidRDefault="00FF7F31">
            <w:pPr>
              <w:rPr>
                <w:rFonts w:ascii="Aptos Narrow" w:hAnsi="Aptos Narrow"/>
                <w:color w:val="000000"/>
              </w:rPr>
            </w:pPr>
            <w:r>
              <w:rPr>
                <w:rFonts w:ascii="Aptos Narrow" w:hAnsi="Aptos Narrow"/>
                <w:color w:val="000000"/>
              </w:rPr>
              <w:t> </w:t>
            </w:r>
          </w:p>
        </w:tc>
      </w:tr>
      <w:tr w:rsidR="00FF7F31" w14:paraId="75E3B767" w14:textId="77777777" w:rsidTr="00FF7F31">
        <w:trPr>
          <w:trHeight w:val="321"/>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79E5FFB2" w14:textId="77777777" w:rsidR="00FF7F31" w:rsidRDefault="00FF7F31">
            <w:pPr>
              <w:rPr>
                <w:rFonts w:ascii="Aptos Narrow" w:hAnsi="Aptos Narrow"/>
                <w:color w:val="000000"/>
              </w:rPr>
            </w:pPr>
            <w:r>
              <w:rPr>
                <w:rFonts w:ascii="Aptos Narrow" w:hAnsi="Aptos Narrow"/>
                <w:color w:val="000000"/>
              </w:rPr>
              <w:t>Recovery Time Objective (RTO): 4 hours.</w:t>
            </w:r>
          </w:p>
        </w:tc>
        <w:tc>
          <w:tcPr>
            <w:tcW w:w="1399" w:type="dxa"/>
            <w:tcBorders>
              <w:top w:val="nil"/>
              <w:left w:val="nil"/>
              <w:bottom w:val="single" w:sz="4" w:space="0" w:color="auto"/>
              <w:right w:val="single" w:sz="4" w:space="0" w:color="auto"/>
            </w:tcBorders>
            <w:shd w:val="clear" w:color="auto" w:fill="auto"/>
            <w:noWrap/>
            <w:vAlign w:val="bottom"/>
            <w:hideMark/>
          </w:tcPr>
          <w:p w14:paraId="078F5BB6"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21BE0BE4"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12DAFB34" w14:textId="77777777" w:rsidR="00FF7F31" w:rsidRDefault="00FF7F31">
            <w:pPr>
              <w:rPr>
                <w:rFonts w:ascii="Aptos Narrow" w:hAnsi="Aptos Narrow"/>
                <w:color w:val="000000"/>
              </w:rPr>
            </w:pPr>
            <w:r>
              <w:rPr>
                <w:rFonts w:ascii="Aptos Narrow" w:hAnsi="Aptos Narrow"/>
                <w:color w:val="000000"/>
              </w:rPr>
              <w:t> </w:t>
            </w:r>
          </w:p>
        </w:tc>
      </w:tr>
      <w:tr w:rsidR="00FF7F31" w14:paraId="64937F07" w14:textId="77777777" w:rsidTr="00FF7F31">
        <w:trPr>
          <w:trHeight w:val="359"/>
        </w:trPr>
        <w:tc>
          <w:tcPr>
            <w:tcW w:w="10395" w:type="dxa"/>
            <w:gridSpan w:val="4"/>
            <w:tcBorders>
              <w:top w:val="single" w:sz="4" w:space="0" w:color="auto"/>
              <w:left w:val="single" w:sz="4" w:space="0" w:color="auto"/>
              <w:bottom w:val="single" w:sz="4" w:space="0" w:color="auto"/>
              <w:right w:val="single" w:sz="4" w:space="0" w:color="000000"/>
            </w:tcBorders>
            <w:shd w:val="clear" w:color="000000" w:fill="C1F0C8"/>
            <w:vAlign w:val="center"/>
            <w:hideMark/>
          </w:tcPr>
          <w:p w14:paraId="3BFFEF7E" w14:textId="77777777" w:rsidR="00FF7F31" w:rsidRDefault="00FF7F31">
            <w:pPr>
              <w:rPr>
                <w:rFonts w:ascii="Aptos Narrow" w:hAnsi="Aptos Narrow"/>
                <w:b/>
                <w:bCs/>
                <w:color w:val="000000"/>
                <w:sz w:val="28"/>
                <w:szCs w:val="28"/>
              </w:rPr>
            </w:pPr>
            <w:r>
              <w:rPr>
                <w:rFonts w:ascii="Aptos Narrow" w:hAnsi="Aptos Narrow"/>
                <w:b/>
                <w:bCs/>
                <w:color w:val="000000"/>
                <w:sz w:val="28"/>
                <w:szCs w:val="28"/>
              </w:rPr>
              <w:t>Vendor Experience and Certifications</w:t>
            </w:r>
          </w:p>
        </w:tc>
      </w:tr>
      <w:tr w:rsidR="00FF7F31" w14:paraId="4F51EBD0"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097D099C" w14:textId="77777777" w:rsidR="00FF7F31" w:rsidRDefault="00FF7F31">
            <w:pPr>
              <w:rPr>
                <w:rFonts w:ascii="Aptos Narrow" w:hAnsi="Aptos Narrow"/>
                <w:color w:val="000000"/>
              </w:rPr>
            </w:pPr>
            <w:r>
              <w:rPr>
                <w:rFonts w:ascii="Aptos Narrow" w:hAnsi="Aptos Narrow"/>
                <w:color w:val="000000"/>
              </w:rPr>
              <w:lastRenderedPageBreak/>
              <w:t>Proven experience with NGOs or humanitarian organizations of similar size.</w:t>
            </w:r>
          </w:p>
        </w:tc>
        <w:tc>
          <w:tcPr>
            <w:tcW w:w="1399" w:type="dxa"/>
            <w:tcBorders>
              <w:top w:val="nil"/>
              <w:left w:val="nil"/>
              <w:bottom w:val="single" w:sz="4" w:space="0" w:color="auto"/>
              <w:right w:val="single" w:sz="4" w:space="0" w:color="auto"/>
            </w:tcBorders>
            <w:shd w:val="clear" w:color="auto" w:fill="auto"/>
            <w:noWrap/>
            <w:vAlign w:val="bottom"/>
            <w:hideMark/>
          </w:tcPr>
          <w:p w14:paraId="1CE665E3"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4DDF827E"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129DEB20" w14:textId="77777777" w:rsidR="00FF7F31" w:rsidRDefault="00FF7F31">
            <w:pPr>
              <w:rPr>
                <w:rFonts w:ascii="Aptos Narrow" w:hAnsi="Aptos Narrow"/>
                <w:color w:val="000000"/>
              </w:rPr>
            </w:pPr>
            <w:r>
              <w:rPr>
                <w:rFonts w:ascii="Aptos Narrow" w:hAnsi="Aptos Narrow"/>
                <w:color w:val="000000"/>
              </w:rPr>
              <w:t> </w:t>
            </w:r>
          </w:p>
        </w:tc>
      </w:tr>
      <w:tr w:rsidR="00FF7F31" w14:paraId="3C077EF4"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14D06574" w14:textId="77777777" w:rsidR="00FF7F31" w:rsidRDefault="00FF7F31">
            <w:pPr>
              <w:rPr>
                <w:rFonts w:ascii="Aptos Narrow" w:hAnsi="Aptos Narrow"/>
                <w:color w:val="000000"/>
              </w:rPr>
            </w:pPr>
            <w:r>
              <w:rPr>
                <w:rFonts w:ascii="Aptos Narrow" w:hAnsi="Aptos Narrow"/>
                <w:color w:val="000000"/>
              </w:rPr>
              <w:t>Vendor holds ISO 27001, GDPR, and other relevant certifications.</w:t>
            </w:r>
          </w:p>
        </w:tc>
        <w:tc>
          <w:tcPr>
            <w:tcW w:w="1399" w:type="dxa"/>
            <w:tcBorders>
              <w:top w:val="nil"/>
              <w:left w:val="nil"/>
              <w:bottom w:val="single" w:sz="4" w:space="0" w:color="auto"/>
              <w:right w:val="single" w:sz="4" w:space="0" w:color="auto"/>
            </w:tcBorders>
            <w:shd w:val="clear" w:color="auto" w:fill="auto"/>
            <w:noWrap/>
            <w:vAlign w:val="bottom"/>
            <w:hideMark/>
          </w:tcPr>
          <w:p w14:paraId="19D0D348"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7B463736"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4FC10C73" w14:textId="77777777" w:rsidR="00FF7F31" w:rsidRDefault="00FF7F31">
            <w:pPr>
              <w:rPr>
                <w:rFonts w:ascii="Aptos Narrow" w:hAnsi="Aptos Narrow"/>
                <w:color w:val="000000"/>
              </w:rPr>
            </w:pPr>
            <w:r>
              <w:rPr>
                <w:rFonts w:ascii="Aptos Narrow" w:hAnsi="Aptos Narrow"/>
                <w:color w:val="000000"/>
              </w:rPr>
              <w:t> </w:t>
            </w:r>
          </w:p>
        </w:tc>
      </w:tr>
      <w:tr w:rsidR="00FF7F31" w14:paraId="7E660877" w14:textId="77777777" w:rsidTr="00FF7F31">
        <w:trPr>
          <w:trHeight w:val="359"/>
        </w:trPr>
        <w:tc>
          <w:tcPr>
            <w:tcW w:w="10395" w:type="dxa"/>
            <w:gridSpan w:val="4"/>
            <w:tcBorders>
              <w:top w:val="single" w:sz="4" w:space="0" w:color="auto"/>
              <w:left w:val="single" w:sz="4" w:space="0" w:color="auto"/>
              <w:bottom w:val="single" w:sz="4" w:space="0" w:color="auto"/>
              <w:right w:val="single" w:sz="4" w:space="0" w:color="000000"/>
            </w:tcBorders>
            <w:shd w:val="clear" w:color="000000" w:fill="C1F0C8"/>
            <w:vAlign w:val="center"/>
            <w:hideMark/>
          </w:tcPr>
          <w:p w14:paraId="069E350E" w14:textId="77777777" w:rsidR="00FF7F31" w:rsidRDefault="00FF7F31">
            <w:pPr>
              <w:rPr>
                <w:rFonts w:ascii="Aptos Narrow" w:hAnsi="Aptos Narrow"/>
                <w:b/>
                <w:bCs/>
                <w:color w:val="000000"/>
                <w:sz w:val="28"/>
                <w:szCs w:val="28"/>
              </w:rPr>
            </w:pPr>
            <w:r>
              <w:rPr>
                <w:rFonts w:ascii="Aptos Narrow" w:hAnsi="Aptos Narrow"/>
                <w:b/>
                <w:bCs/>
                <w:color w:val="000000"/>
                <w:sz w:val="28"/>
                <w:szCs w:val="28"/>
              </w:rPr>
              <w:t>Reporting and Analytics</w:t>
            </w:r>
          </w:p>
        </w:tc>
      </w:tr>
      <w:tr w:rsidR="00FF7F31" w14:paraId="60827DAD"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2B5FA7C8" w14:textId="77777777" w:rsidR="00FF7F31" w:rsidRDefault="00FF7F31">
            <w:pPr>
              <w:rPr>
                <w:rFonts w:ascii="Aptos Narrow" w:hAnsi="Aptos Narrow"/>
                <w:color w:val="000000"/>
              </w:rPr>
            </w:pPr>
            <w:r>
              <w:rPr>
                <w:rFonts w:ascii="Aptos Narrow" w:hAnsi="Aptos Narrow"/>
                <w:color w:val="000000"/>
              </w:rPr>
              <w:t>Monthly incident management, performance, and compliance reports.</w:t>
            </w:r>
          </w:p>
        </w:tc>
        <w:tc>
          <w:tcPr>
            <w:tcW w:w="1399" w:type="dxa"/>
            <w:tcBorders>
              <w:top w:val="nil"/>
              <w:left w:val="nil"/>
              <w:bottom w:val="single" w:sz="4" w:space="0" w:color="auto"/>
              <w:right w:val="single" w:sz="4" w:space="0" w:color="auto"/>
            </w:tcBorders>
            <w:shd w:val="clear" w:color="auto" w:fill="auto"/>
            <w:noWrap/>
            <w:vAlign w:val="bottom"/>
            <w:hideMark/>
          </w:tcPr>
          <w:p w14:paraId="0FB46260"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162EB1A1"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18611C2C" w14:textId="77777777" w:rsidR="00FF7F31" w:rsidRDefault="00FF7F31">
            <w:pPr>
              <w:rPr>
                <w:rFonts w:ascii="Aptos Narrow" w:hAnsi="Aptos Narrow"/>
                <w:color w:val="000000"/>
              </w:rPr>
            </w:pPr>
            <w:r>
              <w:rPr>
                <w:rFonts w:ascii="Aptos Narrow" w:hAnsi="Aptos Narrow"/>
                <w:color w:val="000000"/>
              </w:rPr>
              <w:t> </w:t>
            </w:r>
          </w:p>
        </w:tc>
      </w:tr>
      <w:tr w:rsidR="00FF7F31" w14:paraId="273AE67C" w14:textId="77777777" w:rsidTr="00FF7F31">
        <w:trPr>
          <w:trHeight w:val="642"/>
        </w:trPr>
        <w:tc>
          <w:tcPr>
            <w:tcW w:w="4799" w:type="dxa"/>
            <w:tcBorders>
              <w:top w:val="nil"/>
              <w:left w:val="single" w:sz="4" w:space="0" w:color="auto"/>
              <w:bottom w:val="single" w:sz="4" w:space="0" w:color="auto"/>
              <w:right w:val="single" w:sz="4" w:space="0" w:color="auto"/>
            </w:tcBorders>
            <w:shd w:val="clear" w:color="auto" w:fill="auto"/>
            <w:vAlign w:val="center"/>
            <w:hideMark/>
          </w:tcPr>
          <w:p w14:paraId="091C50CF" w14:textId="77777777" w:rsidR="00FF7F31" w:rsidRDefault="00FF7F31">
            <w:pPr>
              <w:rPr>
                <w:rFonts w:ascii="Aptos Narrow" w:hAnsi="Aptos Narrow"/>
                <w:color w:val="000000"/>
              </w:rPr>
            </w:pPr>
            <w:r>
              <w:rPr>
                <w:rFonts w:ascii="Aptos Narrow" w:hAnsi="Aptos Narrow"/>
                <w:color w:val="000000"/>
              </w:rPr>
              <w:t>Role-based dashboards for real-time monitoring and analytics.</w:t>
            </w:r>
          </w:p>
        </w:tc>
        <w:tc>
          <w:tcPr>
            <w:tcW w:w="1399" w:type="dxa"/>
            <w:tcBorders>
              <w:top w:val="nil"/>
              <w:left w:val="nil"/>
              <w:bottom w:val="single" w:sz="4" w:space="0" w:color="auto"/>
              <w:right w:val="single" w:sz="4" w:space="0" w:color="auto"/>
            </w:tcBorders>
            <w:shd w:val="clear" w:color="auto" w:fill="auto"/>
            <w:noWrap/>
            <w:vAlign w:val="bottom"/>
            <w:hideMark/>
          </w:tcPr>
          <w:p w14:paraId="1E54CB73" w14:textId="77777777" w:rsidR="00FF7F31" w:rsidRDefault="00FF7F31">
            <w:pPr>
              <w:rPr>
                <w:rFonts w:ascii="Aptos Narrow" w:hAnsi="Aptos Narrow"/>
                <w:color w:val="000000"/>
              </w:rPr>
            </w:pPr>
            <w:r>
              <w:rPr>
                <w:rFonts w:ascii="Aptos Narrow" w:hAnsi="Aptos Narrow"/>
                <w:color w:val="000000"/>
              </w:rPr>
              <w:t> </w:t>
            </w:r>
          </w:p>
        </w:tc>
        <w:tc>
          <w:tcPr>
            <w:tcW w:w="1399" w:type="dxa"/>
            <w:tcBorders>
              <w:top w:val="nil"/>
              <w:left w:val="nil"/>
              <w:bottom w:val="single" w:sz="4" w:space="0" w:color="auto"/>
              <w:right w:val="single" w:sz="4" w:space="0" w:color="auto"/>
            </w:tcBorders>
            <w:shd w:val="clear" w:color="auto" w:fill="auto"/>
            <w:noWrap/>
            <w:vAlign w:val="bottom"/>
            <w:hideMark/>
          </w:tcPr>
          <w:p w14:paraId="360DC1BC" w14:textId="77777777" w:rsidR="00FF7F31" w:rsidRDefault="00FF7F31">
            <w:pPr>
              <w:rPr>
                <w:rFonts w:ascii="Aptos Narrow" w:hAnsi="Aptos Narrow"/>
                <w:color w:val="000000"/>
              </w:rPr>
            </w:pPr>
            <w:r>
              <w:rPr>
                <w:rFonts w:ascii="Aptos Narrow" w:hAnsi="Aptos Narrow"/>
                <w:color w:val="000000"/>
              </w:rPr>
              <w:t> </w:t>
            </w:r>
          </w:p>
        </w:tc>
        <w:tc>
          <w:tcPr>
            <w:tcW w:w="2798" w:type="dxa"/>
            <w:tcBorders>
              <w:top w:val="nil"/>
              <w:left w:val="nil"/>
              <w:bottom w:val="single" w:sz="4" w:space="0" w:color="auto"/>
              <w:right w:val="single" w:sz="4" w:space="0" w:color="auto"/>
            </w:tcBorders>
            <w:shd w:val="clear" w:color="auto" w:fill="auto"/>
            <w:noWrap/>
            <w:vAlign w:val="bottom"/>
            <w:hideMark/>
          </w:tcPr>
          <w:p w14:paraId="48CE23A9" w14:textId="77777777" w:rsidR="00FF7F31" w:rsidRDefault="00FF7F31">
            <w:pPr>
              <w:rPr>
                <w:rFonts w:ascii="Aptos Narrow" w:hAnsi="Aptos Narrow"/>
                <w:color w:val="000000"/>
              </w:rPr>
            </w:pPr>
            <w:r>
              <w:rPr>
                <w:rFonts w:ascii="Aptos Narrow" w:hAnsi="Aptos Narrow"/>
                <w:color w:val="000000"/>
              </w:rPr>
              <w:t> </w:t>
            </w:r>
          </w:p>
        </w:tc>
      </w:tr>
    </w:tbl>
    <w:p w14:paraId="56447137" w14:textId="77777777" w:rsidR="00CC374A" w:rsidRDefault="00CC374A" w:rsidP="005E2C91"/>
    <w:p w14:paraId="763E50CD" w14:textId="77777777" w:rsidR="00CC374A" w:rsidRDefault="00CC374A" w:rsidP="005E2C91"/>
    <w:p w14:paraId="795AAACE" w14:textId="77777777" w:rsidR="00E854CD" w:rsidRDefault="00E854CD" w:rsidP="005E2C91"/>
    <w:p w14:paraId="096DFE1B" w14:textId="77777777" w:rsidR="00E854CD" w:rsidRDefault="00E854CD" w:rsidP="005E2C91"/>
    <w:p w14:paraId="23699559" w14:textId="77777777" w:rsidR="00E854CD" w:rsidRDefault="00E854CD" w:rsidP="005E2C91"/>
    <w:p w14:paraId="6FA93A6B" w14:textId="77777777" w:rsidR="00E854CD" w:rsidRDefault="00E854CD" w:rsidP="005E2C91"/>
    <w:p w14:paraId="089F0482" w14:textId="77777777" w:rsidR="00E854CD" w:rsidRDefault="00E854CD" w:rsidP="005E2C91"/>
    <w:p w14:paraId="0133F15E" w14:textId="77777777" w:rsidR="00E854CD" w:rsidRDefault="00E854CD" w:rsidP="005E2C91"/>
    <w:p w14:paraId="209C46A9" w14:textId="77777777" w:rsidR="00E854CD" w:rsidRDefault="00E854CD" w:rsidP="005E2C91"/>
    <w:p w14:paraId="5A8BAB55" w14:textId="77777777" w:rsidR="00E854CD" w:rsidRDefault="00E854CD" w:rsidP="005E2C91"/>
    <w:p w14:paraId="5A46DB0A" w14:textId="77777777" w:rsidR="00E854CD" w:rsidRDefault="00E854CD" w:rsidP="005E2C91"/>
    <w:p w14:paraId="347BFABA" w14:textId="77777777" w:rsidR="00E854CD" w:rsidRDefault="00E854CD" w:rsidP="005E2C91"/>
    <w:p w14:paraId="100F8363" w14:textId="77777777" w:rsidR="00E854CD" w:rsidRDefault="00E854CD" w:rsidP="005E2C91"/>
    <w:p w14:paraId="53148BBA" w14:textId="77777777" w:rsidR="00E854CD" w:rsidRDefault="00E854CD" w:rsidP="005E2C91"/>
    <w:p w14:paraId="3293A8DF" w14:textId="77777777" w:rsidR="00E854CD" w:rsidRDefault="00E854CD" w:rsidP="005E2C91"/>
    <w:p w14:paraId="18539C8E" w14:textId="77777777" w:rsidR="00E854CD" w:rsidRDefault="00E854CD" w:rsidP="005E2C91"/>
    <w:p w14:paraId="3E7CFEDC" w14:textId="77777777" w:rsidR="00E854CD" w:rsidRDefault="00E854CD" w:rsidP="005E2C91"/>
    <w:p w14:paraId="2BA7FCC9" w14:textId="77777777" w:rsidR="00E854CD" w:rsidRDefault="00E854CD" w:rsidP="005E2C91"/>
    <w:p w14:paraId="26060C80" w14:textId="77777777" w:rsidR="00E854CD" w:rsidRDefault="00E854CD" w:rsidP="005E2C91"/>
    <w:p w14:paraId="1765C7DB" w14:textId="77777777" w:rsidR="00E854CD" w:rsidRDefault="00E854CD" w:rsidP="005E2C91"/>
    <w:p w14:paraId="33D2688F" w14:textId="77777777" w:rsidR="00E854CD" w:rsidRDefault="00E854CD" w:rsidP="005E2C91"/>
    <w:p w14:paraId="130A56FA" w14:textId="77777777" w:rsidR="00E854CD" w:rsidRDefault="00E854CD" w:rsidP="005E2C91"/>
    <w:p w14:paraId="6E8C2510" w14:textId="77777777" w:rsidR="00E854CD" w:rsidRDefault="00E854CD" w:rsidP="005E2C91"/>
    <w:p w14:paraId="2D289ECD" w14:textId="77777777" w:rsidR="00E854CD" w:rsidRDefault="00E854CD" w:rsidP="005E2C91"/>
    <w:p w14:paraId="6B1902BF" w14:textId="77777777" w:rsidR="00E854CD" w:rsidRDefault="00E854CD" w:rsidP="005E2C91"/>
    <w:p w14:paraId="7FFC1F17" w14:textId="680E9F65" w:rsidR="00CC374A" w:rsidRPr="00E854CD" w:rsidRDefault="00E854CD" w:rsidP="00E854CD">
      <w:pPr>
        <w:pStyle w:val="Heading2"/>
      </w:pPr>
      <w:bookmarkStart w:id="41" w:name="_Toc191893499"/>
      <w:r w:rsidRPr="00E134B1">
        <w:t xml:space="preserve">Evaluation </w:t>
      </w:r>
      <w:r>
        <w:t>Methodology</w:t>
      </w:r>
      <w:bookmarkEnd w:id="41"/>
      <w:r>
        <w:t xml:space="preserve"> </w:t>
      </w:r>
    </w:p>
    <w:p w14:paraId="44B9F17C" w14:textId="77777777" w:rsidR="00E854CD" w:rsidRDefault="00E854CD" w:rsidP="005E2C91"/>
    <w:tbl>
      <w:tblPr>
        <w:tblW w:w="10038" w:type="dxa"/>
        <w:tblLook w:val="04A0" w:firstRow="1" w:lastRow="0" w:firstColumn="1" w:lastColumn="0" w:noHBand="0" w:noVBand="1"/>
      </w:tblPr>
      <w:tblGrid>
        <w:gridCol w:w="3552"/>
        <w:gridCol w:w="6486"/>
      </w:tblGrid>
      <w:tr w:rsidR="00E854CD" w:rsidRPr="007B7361" w14:paraId="737DDCEB" w14:textId="77777777" w:rsidTr="00E854CD">
        <w:trPr>
          <w:trHeight w:val="295"/>
        </w:trPr>
        <w:tc>
          <w:tcPr>
            <w:tcW w:w="3552" w:type="dxa"/>
            <w:tcBorders>
              <w:top w:val="single" w:sz="4" w:space="0" w:color="auto"/>
              <w:left w:val="single" w:sz="4" w:space="0" w:color="auto"/>
              <w:bottom w:val="single" w:sz="4" w:space="0" w:color="auto"/>
              <w:right w:val="single" w:sz="4" w:space="0" w:color="auto"/>
            </w:tcBorders>
            <w:shd w:val="clear" w:color="auto" w:fill="156082"/>
            <w:vAlign w:val="center"/>
            <w:hideMark/>
          </w:tcPr>
          <w:p w14:paraId="102ED2F9" w14:textId="77777777" w:rsidR="00E854CD" w:rsidRPr="007B7361" w:rsidRDefault="00E854CD" w:rsidP="0058358E">
            <w:pPr>
              <w:jc w:val="center"/>
              <w:rPr>
                <w:rFonts w:ascii="Aptos Narrow" w:hAnsi="Aptos Narrow"/>
                <w:b/>
                <w:bCs/>
                <w:color w:val="FFFFFF"/>
              </w:rPr>
            </w:pPr>
            <w:r w:rsidRPr="007B7361">
              <w:rPr>
                <w:rFonts w:ascii="Aptos Narrow" w:hAnsi="Aptos Narrow"/>
                <w:b/>
                <w:bCs/>
                <w:color w:val="FFFFFF"/>
              </w:rPr>
              <w:t>Evaluation Criteria</w:t>
            </w:r>
          </w:p>
        </w:tc>
        <w:tc>
          <w:tcPr>
            <w:tcW w:w="6486" w:type="dxa"/>
            <w:tcBorders>
              <w:top w:val="single" w:sz="4" w:space="0" w:color="auto"/>
              <w:left w:val="single" w:sz="4" w:space="0" w:color="auto"/>
              <w:bottom w:val="single" w:sz="4" w:space="0" w:color="auto"/>
              <w:right w:val="single" w:sz="4" w:space="0" w:color="auto"/>
            </w:tcBorders>
            <w:shd w:val="clear" w:color="auto" w:fill="156082"/>
            <w:vAlign w:val="center"/>
            <w:hideMark/>
          </w:tcPr>
          <w:p w14:paraId="6F60458A" w14:textId="77777777" w:rsidR="00E854CD" w:rsidRPr="007B7361" w:rsidRDefault="00E854CD" w:rsidP="0058358E">
            <w:pPr>
              <w:jc w:val="center"/>
              <w:rPr>
                <w:rFonts w:ascii="Aptos Narrow" w:hAnsi="Aptos Narrow"/>
                <w:b/>
                <w:bCs/>
                <w:color w:val="FFFFFF"/>
              </w:rPr>
            </w:pPr>
            <w:r w:rsidRPr="007B7361">
              <w:rPr>
                <w:rFonts w:ascii="Aptos Narrow" w:hAnsi="Aptos Narrow"/>
                <w:b/>
                <w:bCs/>
                <w:color w:val="FFFFFF"/>
              </w:rPr>
              <w:t>Description</w:t>
            </w:r>
          </w:p>
        </w:tc>
      </w:tr>
      <w:tr w:rsidR="00E854CD" w:rsidRPr="007B7361" w14:paraId="4D7245CE" w14:textId="77777777" w:rsidTr="00E854CD">
        <w:trPr>
          <w:trHeight w:val="886"/>
        </w:trPr>
        <w:tc>
          <w:tcPr>
            <w:tcW w:w="3552" w:type="dxa"/>
            <w:tcBorders>
              <w:top w:val="single" w:sz="4" w:space="0" w:color="auto"/>
              <w:left w:val="single" w:sz="4" w:space="0" w:color="auto"/>
              <w:bottom w:val="single" w:sz="4" w:space="0" w:color="auto"/>
              <w:right w:val="single" w:sz="4" w:space="0" w:color="auto"/>
            </w:tcBorders>
            <w:shd w:val="clear" w:color="auto" w:fill="C0E6F5"/>
            <w:vAlign w:val="center"/>
            <w:hideMark/>
          </w:tcPr>
          <w:p w14:paraId="3E91224D" w14:textId="77777777" w:rsidR="00E854CD" w:rsidRPr="007B7361" w:rsidRDefault="00E854CD" w:rsidP="0058358E">
            <w:pPr>
              <w:rPr>
                <w:rFonts w:ascii="Aptos Narrow" w:hAnsi="Aptos Narrow"/>
                <w:b/>
                <w:bCs/>
                <w:color w:val="000000"/>
              </w:rPr>
            </w:pPr>
            <w:r w:rsidRPr="007B7361">
              <w:rPr>
                <w:rFonts w:ascii="Aptos Narrow" w:hAnsi="Aptos Narrow"/>
                <w:b/>
                <w:bCs/>
                <w:color w:val="000000"/>
              </w:rPr>
              <w:t>Technical Expertise and Solution Fit</w:t>
            </w:r>
          </w:p>
        </w:tc>
        <w:tc>
          <w:tcPr>
            <w:tcW w:w="6486" w:type="dxa"/>
            <w:tcBorders>
              <w:top w:val="single" w:sz="4" w:space="0" w:color="auto"/>
              <w:left w:val="single" w:sz="4" w:space="0" w:color="auto"/>
              <w:bottom w:val="single" w:sz="4" w:space="0" w:color="auto"/>
              <w:right w:val="single" w:sz="4" w:space="0" w:color="auto"/>
            </w:tcBorders>
            <w:shd w:val="clear" w:color="auto" w:fill="C0E6F5"/>
            <w:vAlign w:val="center"/>
            <w:hideMark/>
          </w:tcPr>
          <w:p w14:paraId="60DDB26C" w14:textId="77777777" w:rsidR="00E854CD" w:rsidRPr="007B7361" w:rsidRDefault="00E854CD" w:rsidP="0058358E">
            <w:pPr>
              <w:rPr>
                <w:rFonts w:ascii="Aptos Narrow" w:hAnsi="Aptos Narrow"/>
                <w:color w:val="000000"/>
              </w:rPr>
            </w:pPr>
            <w:r w:rsidRPr="007B7361">
              <w:rPr>
                <w:rFonts w:ascii="Aptos Narrow" w:hAnsi="Aptos Narrow"/>
                <w:color w:val="000000"/>
              </w:rPr>
              <w:t>Assessment of the vendor's technical capabilities, proposed solution alignment with LRC’s needs, and technical approach. This includes platform compatibility, scalability, and overall solution architecture.</w:t>
            </w:r>
          </w:p>
        </w:tc>
      </w:tr>
      <w:tr w:rsidR="00E854CD" w:rsidRPr="007B7361" w14:paraId="14717A15" w14:textId="77777777" w:rsidTr="00E854CD">
        <w:trPr>
          <w:trHeight w:val="886"/>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CD1D8" w14:textId="77777777" w:rsidR="00E854CD" w:rsidRPr="007B7361" w:rsidRDefault="00E854CD" w:rsidP="0058358E">
            <w:pPr>
              <w:rPr>
                <w:rFonts w:ascii="Aptos Narrow" w:hAnsi="Aptos Narrow"/>
                <w:b/>
                <w:bCs/>
                <w:color w:val="000000"/>
              </w:rPr>
            </w:pPr>
            <w:r w:rsidRPr="007B7361">
              <w:rPr>
                <w:rFonts w:ascii="Aptos Narrow" w:hAnsi="Aptos Narrow"/>
                <w:b/>
                <w:bCs/>
                <w:color w:val="000000"/>
              </w:rPr>
              <w:t>Vendor Experience and Qualifications</w:t>
            </w:r>
          </w:p>
        </w:tc>
        <w:tc>
          <w:tcPr>
            <w:tcW w:w="6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B156D" w14:textId="77777777" w:rsidR="00E854CD" w:rsidRPr="007B7361" w:rsidRDefault="00E854CD" w:rsidP="0058358E">
            <w:pPr>
              <w:rPr>
                <w:rFonts w:ascii="Aptos Narrow" w:hAnsi="Aptos Narrow"/>
                <w:color w:val="000000"/>
              </w:rPr>
            </w:pPr>
            <w:r w:rsidRPr="007B7361">
              <w:rPr>
                <w:rFonts w:ascii="Aptos Narrow" w:hAnsi="Aptos Narrow"/>
                <w:color w:val="000000"/>
              </w:rPr>
              <w:t>Evaluation of the vendor’s experience in providing similar services, especially in the NGO and humanitarian sectors. This includes references, certifications (e.g., ISO 27001), and staff expertise.</w:t>
            </w:r>
          </w:p>
        </w:tc>
      </w:tr>
      <w:tr w:rsidR="00E854CD" w:rsidRPr="007B7361" w14:paraId="2FC5BC38" w14:textId="77777777" w:rsidTr="00E854CD">
        <w:trPr>
          <w:trHeight w:val="886"/>
        </w:trPr>
        <w:tc>
          <w:tcPr>
            <w:tcW w:w="3552" w:type="dxa"/>
            <w:tcBorders>
              <w:top w:val="single" w:sz="4" w:space="0" w:color="auto"/>
              <w:left w:val="single" w:sz="4" w:space="0" w:color="auto"/>
              <w:bottom w:val="single" w:sz="4" w:space="0" w:color="auto"/>
              <w:right w:val="single" w:sz="4" w:space="0" w:color="auto"/>
            </w:tcBorders>
            <w:shd w:val="clear" w:color="auto" w:fill="C0E6F5"/>
            <w:vAlign w:val="center"/>
            <w:hideMark/>
          </w:tcPr>
          <w:p w14:paraId="60654328" w14:textId="77777777" w:rsidR="00E854CD" w:rsidRPr="007B7361" w:rsidRDefault="00E854CD" w:rsidP="0058358E">
            <w:pPr>
              <w:rPr>
                <w:rFonts w:ascii="Aptos Narrow" w:hAnsi="Aptos Narrow"/>
                <w:b/>
                <w:bCs/>
                <w:color w:val="000000"/>
              </w:rPr>
            </w:pPr>
            <w:r w:rsidRPr="007B7361">
              <w:rPr>
                <w:rFonts w:ascii="Aptos Narrow" w:hAnsi="Aptos Narrow"/>
                <w:b/>
                <w:bCs/>
                <w:color w:val="000000"/>
              </w:rPr>
              <w:t>Service Level Agreement (SLA) Compliance</w:t>
            </w:r>
          </w:p>
        </w:tc>
        <w:tc>
          <w:tcPr>
            <w:tcW w:w="6486" w:type="dxa"/>
            <w:tcBorders>
              <w:top w:val="single" w:sz="4" w:space="0" w:color="auto"/>
              <w:left w:val="single" w:sz="4" w:space="0" w:color="auto"/>
              <w:bottom w:val="single" w:sz="4" w:space="0" w:color="auto"/>
              <w:right w:val="single" w:sz="4" w:space="0" w:color="auto"/>
            </w:tcBorders>
            <w:shd w:val="clear" w:color="auto" w:fill="C0E6F5"/>
            <w:vAlign w:val="center"/>
            <w:hideMark/>
          </w:tcPr>
          <w:p w14:paraId="27CE32F8" w14:textId="77777777" w:rsidR="00E854CD" w:rsidRPr="007B7361" w:rsidRDefault="00E854CD" w:rsidP="0058358E">
            <w:pPr>
              <w:rPr>
                <w:rFonts w:ascii="Aptos Narrow" w:hAnsi="Aptos Narrow"/>
                <w:color w:val="000000"/>
              </w:rPr>
            </w:pPr>
            <w:r w:rsidRPr="007B7361">
              <w:rPr>
                <w:rFonts w:ascii="Aptos Narrow" w:hAnsi="Aptos Narrow"/>
                <w:color w:val="000000"/>
              </w:rPr>
              <w:t>Evaluation of the proposed SLA, including uptime, incident response times, and adherence to critical SLAs for network and security operations.</w:t>
            </w:r>
          </w:p>
        </w:tc>
      </w:tr>
      <w:tr w:rsidR="00E854CD" w:rsidRPr="007B7361" w14:paraId="79B1DFEF" w14:textId="77777777" w:rsidTr="00E854CD">
        <w:trPr>
          <w:trHeight w:val="1181"/>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26A30" w14:textId="77777777" w:rsidR="00E854CD" w:rsidRPr="007B7361" w:rsidRDefault="00E854CD" w:rsidP="0058358E">
            <w:pPr>
              <w:rPr>
                <w:rFonts w:ascii="Aptos Narrow" w:hAnsi="Aptos Narrow"/>
                <w:b/>
                <w:bCs/>
                <w:color w:val="000000"/>
              </w:rPr>
            </w:pPr>
            <w:r w:rsidRPr="007B7361">
              <w:rPr>
                <w:rFonts w:ascii="Aptos Narrow" w:hAnsi="Aptos Narrow"/>
                <w:b/>
                <w:bCs/>
                <w:color w:val="000000"/>
              </w:rPr>
              <w:lastRenderedPageBreak/>
              <w:t>Security Features and Compliance</w:t>
            </w:r>
          </w:p>
        </w:tc>
        <w:tc>
          <w:tcPr>
            <w:tcW w:w="6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095F8" w14:textId="77777777" w:rsidR="00E854CD" w:rsidRPr="007B7361" w:rsidRDefault="00E854CD" w:rsidP="0058358E">
            <w:r w:rsidRPr="79345289">
              <w:rPr>
                <w:rFonts w:ascii="Aptos Narrow" w:eastAsia="Aptos Narrow" w:hAnsi="Aptos Narrow" w:cs="Aptos Narrow"/>
                <w:color w:val="000000" w:themeColor="text1"/>
              </w:rPr>
              <w:t>Assessment of the vendor’s cybersecurity measures, including incident management, security event monitoring, SIEM integration, vulnerability management, regular penetration testing, and compliance with industry standards (ISO 27001, GDPR, etc.)."</w:t>
            </w:r>
          </w:p>
        </w:tc>
      </w:tr>
      <w:tr w:rsidR="00E854CD" w:rsidRPr="007B7361" w14:paraId="4A34963F" w14:textId="77777777" w:rsidTr="00E854CD">
        <w:trPr>
          <w:trHeight w:val="886"/>
        </w:trPr>
        <w:tc>
          <w:tcPr>
            <w:tcW w:w="3552" w:type="dxa"/>
            <w:tcBorders>
              <w:top w:val="single" w:sz="4" w:space="0" w:color="auto"/>
              <w:left w:val="single" w:sz="4" w:space="0" w:color="auto"/>
              <w:bottom w:val="single" w:sz="4" w:space="0" w:color="auto"/>
              <w:right w:val="single" w:sz="4" w:space="0" w:color="auto"/>
            </w:tcBorders>
            <w:shd w:val="clear" w:color="auto" w:fill="C0E6F5"/>
            <w:vAlign w:val="center"/>
            <w:hideMark/>
          </w:tcPr>
          <w:p w14:paraId="37E8CD82" w14:textId="77777777" w:rsidR="00E854CD" w:rsidRPr="007B7361" w:rsidRDefault="00E854CD" w:rsidP="0058358E">
            <w:pPr>
              <w:rPr>
                <w:rFonts w:ascii="Aptos Narrow" w:hAnsi="Aptos Narrow"/>
                <w:b/>
                <w:bCs/>
                <w:color w:val="000000"/>
              </w:rPr>
            </w:pPr>
            <w:r w:rsidRPr="007B7361">
              <w:rPr>
                <w:rFonts w:ascii="Aptos Narrow" w:hAnsi="Aptos Narrow"/>
                <w:b/>
                <w:bCs/>
                <w:color w:val="000000"/>
              </w:rPr>
              <w:t>Platform Capabilities and Monitoring Features</w:t>
            </w:r>
          </w:p>
        </w:tc>
        <w:tc>
          <w:tcPr>
            <w:tcW w:w="6486" w:type="dxa"/>
            <w:tcBorders>
              <w:top w:val="single" w:sz="4" w:space="0" w:color="auto"/>
              <w:left w:val="single" w:sz="4" w:space="0" w:color="auto"/>
              <w:bottom w:val="single" w:sz="4" w:space="0" w:color="auto"/>
              <w:right w:val="single" w:sz="4" w:space="0" w:color="auto"/>
            </w:tcBorders>
            <w:shd w:val="clear" w:color="auto" w:fill="C0E6F5"/>
            <w:vAlign w:val="center"/>
            <w:hideMark/>
          </w:tcPr>
          <w:p w14:paraId="7920CD77" w14:textId="77777777" w:rsidR="00E854CD" w:rsidRPr="007B7361" w:rsidRDefault="00E854CD" w:rsidP="0058358E">
            <w:pPr>
              <w:rPr>
                <w:rFonts w:ascii="Aptos Narrow" w:hAnsi="Aptos Narrow"/>
                <w:color w:val="000000"/>
              </w:rPr>
            </w:pPr>
            <w:r w:rsidRPr="007B7361">
              <w:rPr>
                <w:rFonts w:ascii="Aptos Narrow" w:hAnsi="Aptos Narrow"/>
                <w:color w:val="000000"/>
              </w:rPr>
              <w:t>Evaluation of the monitoring platform’s features such as real-time monitoring, alerting, incident tracking, scalability, automated remediation, and integration with other systems.</w:t>
            </w:r>
          </w:p>
        </w:tc>
      </w:tr>
      <w:tr w:rsidR="00E854CD" w:rsidRPr="007B7361" w14:paraId="7A31F59C" w14:textId="77777777" w:rsidTr="00E854CD">
        <w:trPr>
          <w:trHeight w:val="886"/>
        </w:trPr>
        <w:tc>
          <w:tcPr>
            <w:tcW w:w="3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4C820" w14:textId="77777777" w:rsidR="00E854CD" w:rsidRPr="007B7361" w:rsidRDefault="00E854CD" w:rsidP="0058358E">
            <w:pPr>
              <w:rPr>
                <w:rFonts w:ascii="Aptos Narrow" w:hAnsi="Aptos Narrow"/>
                <w:b/>
                <w:bCs/>
                <w:color w:val="000000"/>
              </w:rPr>
            </w:pPr>
            <w:r w:rsidRPr="007B7361">
              <w:rPr>
                <w:rFonts w:ascii="Aptos Narrow" w:hAnsi="Aptos Narrow"/>
                <w:b/>
                <w:bCs/>
                <w:color w:val="000000"/>
              </w:rPr>
              <w:t>Support and Maintenance Services</w:t>
            </w:r>
          </w:p>
        </w:tc>
        <w:tc>
          <w:tcPr>
            <w:tcW w:w="6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E5A47" w14:textId="77777777" w:rsidR="00E854CD" w:rsidRPr="007B7361" w:rsidRDefault="00E854CD" w:rsidP="0058358E">
            <w:pPr>
              <w:rPr>
                <w:rFonts w:ascii="Aptos Narrow" w:hAnsi="Aptos Narrow"/>
                <w:color w:val="000000"/>
              </w:rPr>
            </w:pPr>
            <w:r w:rsidRPr="007B7361">
              <w:rPr>
                <w:rFonts w:ascii="Aptos Narrow" w:hAnsi="Aptos Narrow"/>
                <w:color w:val="000000"/>
              </w:rPr>
              <w:t>Evaluation of the vendor’s proposed support structure, including 24/7 availability, responsiveness, escalation procedures, and the qualifications of support staff</w:t>
            </w:r>
            <w:r>
              <w:rPr>
                <w:rFonts w:ascii="Aptos Narrow" w:hAnsi="Aptos Narrow"/>
                <w:color w:val="000000"/>
              </w:rPr>
              <w:t>.</w:t>
            </w:r>
          </w:p>
        </w:tc>
      </w:tr>
      <w:tr w:rsidR="00E854CD" w:rsidRPr="007B7361" w14:paraId="603F0D51" w14:textId="77777777" w:rsidTr="00E854CD">
        <w:trPr>
          <w:trHeight w:val="886"/>
        </w:trPr>
        <w:tc>
          <w:tcPr>
            <w:tcW w:w="3552" w:type="dxa"/>
            <w:tcBorders>
              <w:top w:val="single" w:sz="4" w:space="0" w:color="auto"/>
              <w:left w:val="single" w:sz="4" w:space="0" w:color="auto"/>
              <w:bottom w:val="single" w:sz="4" w:space="0" w:color="auto"/>
              <w:right w:val="single" w:sz="4" w:space="0" w:color="auto"/>
            </w:tcBorders>
            <w:shd w:val="clear" w:color="auto" w:fill="C0E6F5"/>
            <w:vAlign w:val="center"/>
            <w:hideMark/>
          </w:tcPr>
          <w:p w14:paraId="69A84998" w14:textId="77777777" w:rsidR="00E854CD" w:rsidRPr="007B7361" w:rsidRDefault="00E854CD" w:rsidP="0058358E">
            <w:pPr>
              <w:rPr>
                <w:rFonts w:ascii="Aptos Narrow" w:hAnsi="Aptos Narrow"/>
                <w:b/>
                <w:bCs/>
                <w:color w:val="000000"/>
              </w:rPr>
            </w:pPr>
            <w:r w:rsidRPr="007B7361">
              <w:rPr>
                <w:rFonts w:ascii="Aptos Narrow" w:hAnsi="Aptos Narrow"/>
                <w:b/>
                <w:bCs/>
                <w:color w:val="000000"/>
              </w:rPr>
              <w:t>Cost and Value for Money</w:t>
            </w:r>
          </w:p>
        </w:tc>
        <w:tc>
          <w:tcPr>
            <w:tcW w:w="6486" w:type="dxa"/>
            <w:tcBorders>
              <w:top w:val="single" w:sz="4" w:space="0" w:color="auto"/>
              <w:left w:val="single" w:sz="4" w:space="0" w:color="auto"/>
              <w:bottom w:val="single" w:sz="4" w:space="0" w:color="auto"/>
              <w:right w:val="single" w:sz="4" w:space="0" w:color="auto"/>
            </w:tcBorders>
            <w:shd w:val="clear" w:color="auto" w:fill="C0E6F5"/>
            <w:vAlign w:val="center"/>
            <w:hideMark/>
          </w:tcPr>
          <w:p w14:paraId="781C4A05" w14:textId="77777777" w:rsidR="00E854CD" w:rsidRPr="007B7361" w:rsidRDefault="00E854CD" w:rsidP="0058358E">
            <w:pPr>
              <w:rPr>
                <w:rFonts w:ascii="Aptos Narrow" w:hAnsi="Aptos Narrow"/>
                <w:color w:val="000000"/>
              </w:rPr>
            </w:pPr>
            <w:r w:rsidRPr="007B7361">
              <w:rPr>
                <w:rFonts w:ascii="Aptos Narrow" w:hAnsi="Aptos Narrow"/>
                <w:color w:val="000000"/>
              </w:rPr>
              <w:t>Assessment of the total cost of the proposal, including long-term financial viability, scalability options, and cost-effectiveness in comparison to the value provided.</w:t>
            </w:r>
          </w:p>
        </w:tc>
      </w:tr>
      <w:tr w:rsidR="00E854CD" w:rsidRPr="007B7361" w14:paraId="56C5F89B" w14:textId="77777777" w:rsidTr="00E854CD">
        <w:trPr>
          <w:trHeight w:val="886"/>
        </w:trPr>
        <w:tc>
          <w:tcPr>
            <w:tcW w:w="3552" w:type="dxa"/>
            <w:tcBorders>
              <w:top w:val="single" w:sz="4" w:space="0" w:color="auto"/>
              <w:left w:val="single" w:sz="4" w:space="0" w:color="auto"/>
              <w:bottom w:val="single" w:sz="4" w:space="0" w:color="auto"/>
              <w:right w:val="single" w:sz="4" w:space="0" w:color="auto"/>
            </w:tcBorders>
            <w:shd w:val="clear" w:color="auto" w:fill="C0E6F5"/>
            <w:vAlign w:val="center"/>
          </w:tcPr>
          <w:p w14:paraId="6DEED309" w14:textId="77777777" w:rsidR="00E854CD" w:rsidRPr="007B7361" w:rsidRDefault="00E854CD" w:rsidP="0058358E">
            <w:pPr>
              <w:rPr>
                <w:rFonts w:ascii="Aptos Narrow" w:hAnsi="Aptos Narrow"/>
                <w:b/>
                <w:bCs/>
                <w:color w:val="000000"/>
              </w:rPr>
            </w:pPr>
            <w:r w:rsidRPr="00ED7464">
              <w:rPr>
                <w:rFonts w:ascii="Aptos Narrow" w:hAnsi="Aptos Narrow"/>
                <w:b/>
                <w:bCs/>
                <w:color w:val="000000"/>
              </w:rPr>
              <w:t>Innovation and Use of New Technologies</w:t>
            </w:r>
          </w:p>
        </w:tc>
        <w:tc>
          <w:tcPr>
            <w:tcW w:w="6486" w:type="dxa"/>
            <w:tcBorders>
              <w:top w:val="single" w:sz="4" w:space="0" w:color="auto"/>
              <w:left w:val="single" w:sz="4" w:space="0" w:color="auto"/>
              <w:bottom w:val="single" w:sz="4" w:space="0" w:color="auto"/>
              <w:right w:val="single" w:sz="4" w:space="0" w:color="auto"/>
            </w:tcBorders>
            <w:shd w:val="clear" w:color="auto" w:fill="C0E6F5"/>
            <w:vAlign w:val="center"/>
          </w:tcPr>
          <w:p w14:paraId="7E22EEB6" w14:textId="77777777" w:rsidR="00E854CD" w:rsidRPr="007B7361" w:rsidRDefault="00E854CD" w:rsidP="0058358E">
            <w:pPr>
              <w:rPr>
                <w:rFonts w:ascii="Aptos Narrow" w:hAnsi="Aptos Narrow"/>
                <w:color w:val="000000"/>
              </w:rPr>
            </w:pPr>
            <w:r w:rsidRPr="00ED7464">
              <w:rPr>
                <w:rFonts w:ascii="Aptos Narrow" w:hAnsi="Aptos Narrow"/>
                <w:color w:val="000000"/>
              </w:rPr>
              <w:t>Assessment of the vendor’s ability to integrate and leverage emerging technologies like Artificial Intelligence (AI), Advanced Endpoint Behavior Analytics (AEBA), machine learning, and automation to improve security, efficiency, and system intelligence.</w:t>
            </w:r>
          </w:p>
        </w:tc>
      </w:tr>
    </w:tbl>
    <w:p w14:paraId="2D1816C8" w14:textId="77777777" w:rsidR="00E854CD" w:rsidRPr="00E854CD" w:rsidRDefault="00E854CD" w:rsidP="005E2C91"/>
    <w:sectPr w:rsidR="00E854CD" w:rsidRPr="00E854CD" w:rsidSect="005139F2">
      <w:pgSz w:w="11906" w:h="16838" w:code="9"/>
      <w:pgMar w:top="990" w:right="90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5374" w14:textId="77777777" w:rsidR="00975226" w:rsidRDefault="00975226" w:rsidP="00A618D9">
      <w:r>
        <w:separator/>
      </w:r>
    </w:p>
  </w:endnote>
  <w:endnote w:type="continuationSeparator" w:id="0">
    <w:p w14:paraId="66D83EC4" w14:textId="77777777" w:rsidR="00975226" w:rsidRDefault="00975226" w:rsidP="00A6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A0B0" w14:textId="77777777" w:rsidR="00975226" w:rsidRDefault="00975226" w:rsidP="00A618D9">
      <w:r>
        <w:separator/>
      </w:r>
    </w:p>
  </w:footnote>
  <w:footnote w:type="continuationSeparator" w:id="0">
    <w:p w14:paraId="44E50C91" w14:textId="77777777" w:rsidR="00975226" w:rsidRDefault="00975226" w:rsidP="00A61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DFD"/>
    <w:multiLevelType w:val="multilevel"/>
    <w:tmpl w:val="692EAA16"/>
    <w:lvl w:ilvl="0">
      <w:start w:val="1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upp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255999"/>
    <w:multiLevelType w:val="multilevel"/>
    <w:tmpl w:val="0DB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A37EE"/>
    <w:multiLevelType w:val="multilevel"/>
    <w:tmpl w:val="E6F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63842"/>
    <w:multiLevelType w:val="multilevel"/>
    <w:tmpl w:val="F8D25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A3AA4"/>
    <w:multiLevelType w:val="multilevel"/>
    <w:tmpl w:val="D7AE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82744A"/>
    <w:multiLevelType w:val="multilevel"/>
    <w:tmpl w:val="104C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05532"/>
    <w:multiLevelType w:val="multilevel"/>
    <w:tmpl w:val="36F00732"/>
    <w:lvl w:ilvl="0">
      <w:start w:val="4"/>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3F68AB"/>
    <w:multiLevelType w:val="multilevel"/>
    <w:tmpl w:val="6AF83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E2C8E"/>
    <w:multiLevelType w:val="multilevel"/>
    <w:tmpl w:val="DCDA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9656C"/>
    <w:multiLevelType w:val="multilevel"/>
    <w:tmpl w:val="4ACA9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00251"/>
    <w:multiLevelType w:val="multilevel"/>
    <w:tmpl w:val="2594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C692A"/>
    <w:multiLevelType w:val="multilevel"/>
    <w:tmpl w:val="6CE6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2699C"/>
    <w:multiLevelType w:val="multilevel"/>
    <w:tmpl w:val="C6F6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1518C"/>
    <w:multiLevelType w:val="multilevel"/>
    <w:tmpl w:val="3F40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B24FB"/>
    <w:multiLevelType w:val="hybridMultilevel"/>
    <w:tmpl w:val="2F649190"/>
    <w:lvl w:ilvl="0" w:tplc="CE7AB0DA">
      <w:start w:val="1"/>
      <w:numFmt w:val="bullet"/>
      <w:lvlText w:val=""/>
      <w:lvlJc w:val="left"/>
      <w:pPr>
        <w:ind w:left="720" w:hanging="360"/>
      </w:pPr>
      <w:rPr>
        <w:rFonts w:ascii="Symbol" w:hAnsi="Symbol" w:hint="default"/>
      </w:rPr>
    </w:lvl>
    <w:lvl w:ilvl="1" w:tplc="4792218E">
      <w:start w:val="1"/>
      <w:numFmt w:val="bullet"/>
      <w:lvlText w:val="o"/>
      <w:lvlJc w:val="left"/>
      <w:pPr>
        <w:ind w:left="1440" w:hanging="360"/>
      </w:pPr>
      <w:rPr>
        <w:rFonts w:ascii="Courier New" w:hAnsi="Courier New" w:hint="default"/>
      </w:rPr>
    </w:lvl>
    <w:lvl w:ilvl="2" w:tplc="A830E73A">
      <w:start w:val="1"/>
      <w:numFmt w:val="bullet"/>
      <w:lvlText w:val=""/>
      <w:lvlJc w:val="left"/>
      <w:pPr>
        <w:ind w:left="2160" w:hanging="360"/>
      </w:pPr>
      <w:rPr>
        <w:rFonts w:ascii="Wingdings" w:hAnsi="Wingdings" w:hint="default"/>
      </w:rPr>
    </w:lvl>
    <w:lvl w:ilvl="3" w:tplc="56660B08">
      <w:start w:val="1"/>
      <w:numFmt w:val="bullet"/>
      <w:lvlText w:val=""/>
      <w:lvlJc w:val="left"/>
      <w:pPr>
        <w:ind w:left="2880" w:hanging="360"/>
      </w:pPr>
      <w:rPr>
        <w:rFonts w:ascii="Symbol" w:hAnsi="Symbol" w:hint="default"/>
      </w:rPr>
    </w:lvl>
    <w:lvl w:ilvl="4" w:tplc="72CA2A72">
      <w:start w:val="1"/>
      <w:numFmt w:val="bullet"/>
      <w:lvlText w:val="o"/>
      <w:lvlJc w:val="left"/>
      <w:pPr>
        <w:ind w:left="3600" w:hanging="360"/>
      </w:pPr>
      <w:rPr>
        <w:rFonts w:ascii="Courier New" w:hAnsi="Courier New" w:hint="default"/>
      </w:rPr>
    </w:lvl>
    <w:lvl w:ilvl="5" w:tplc="DF0EBEF4">
      <w:start w:val="1"/>
      <w:numFmt w:val="bullet"/>
      <w:lvlText w:val=""/>
      <w:lvlJc w:val="left"/>
      <w:pPr>
        <w:ind w:left="4320" w:hanging="360"/>
      </w:pPr>
      <w:rPr>
        <w:rFonts w:ascii="Wingdings" w:hAnsi="Wingdings" w:hint="default"/>
      </w:rPr>
    </w:lvl>
    <w:lvl w:ilvl="6" w:tplc="45CCF2C4">
      <w:start w:val="1"/>
      <w:numFmt w:val="bullet"/>
      <w:lvlText w:val=""/>
      <w:lvlJc w:val="left"/>
      <w:pPr>
        <w:ind w:left="5040" w:hanging="360"/>
      </w:pPr>
      <w:rPr>
        <w:rFonts w:ascii="Symbol" w:hAnsi="Symbol" w:hint="default"/>
      </w:rPr>
    </w:lvl>
    <w:lvl w:ilvl="7" w:tplc="CB4A5C5E">
      <w:start w:val="1"/>
      <w:numFmt w:val="bullet"/>
      <w:lvlText w:val="o"/>
      <w:lvlJc w:val="left"/>
      <w:pPr>
        <w:ind w:left="5760" w:hanging="360"/>
      </w:pPr>
      <w:rPr>
        <w:rFonts w:ascii="Courier New" w:hAnsi="Courier New" w:hint="default"/>
      </w:rPr>
    </w:lvl>
    <w:lvl w:ilvl="8" w:tplc="F3A8F7A8">
      <w:start w:val="1"/>
      <w:numFmt w:val="bullet"/>
      <w:lvlText w:val=""/>
      <w:lvlJc w:val="left"/>
      <w:pPr>
        <w:ind w:left="6480" w:hanging="360"/>
      </w:pPr>
      <w:rPr>
        <w:rFonts w:ascii="Wingdings" w:hAnsi="Wingdings" w:hint="default"/>
      </w:rPr>
    </w:lvl>
  </w:abstractNum>
  <w:abstractNum w:abstractNumId="15" w15:restartNumberingAfterBreak="0">
    <w:nsid w:val="357C1411"/>
    <w:multiLevelType w:val="multilevel"/>
    <w:tmpl w:val="207A3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C6E1B"/>
    <w:multiLevelType w:val="multilevel"/>
    <w:tmpl w:val="7D64D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7106D"/>
    <w:multiLevelType w:val="multilevel"/>
    <w:tmpl w:val="D1149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4031D"/>
    <w:multiLevelType w:val="multilevel"/>
    <w:tmpl w:val="23B89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439F8"/>
    <w:multiLevelType w:val="multilevel"/>
    <w:tmpl w:val="197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B0E8E"/>
    <w:multiLevelType w:val="multilevel"/>
    <w:tmpl w:val="16669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1677DE"/>
    <w:multiLevelType w:val="multilevel"/>
    <w:tmpl w:val="B21A4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7F4C11"/>
    <w:multiLevelType w:val="multilevel"/>
    <w:tmpl w:val="C4709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34752"/>
    <w:multiLevelType w:val="multilevel"/>
    <w:tmpl w:val="8DF8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5148F"/>
    <w:multiLevelType w:val="multilevel"/>
    <w:tmpl w:val="C830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157EA"/>
    <w:multiLevelType w:val="multilevel"/>
    <w:tmpl w:val="C662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26FC3"/>
    <w:multiLevelType w:val="multilevel"/>
    <w:tmpl w:val="D5DC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91A52"/>
    <w:multiLevelType w:val="multilevel"/>
    <w:tmpl w:val="FF4CA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4781F"/>
    <w:multiLevelType w:val="multilevel"/>
    <w:tmpl w:val="17F67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CA0FEB"/>
    <w:multiLevelType w:val="multilevel"/>
    <w:tmpl w:val="C726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367866"/>
    <w:multiLevelType w:val="multilevel"/>
    <w:tmpl w:val="5454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D7373E"/>
    <w:multiLevelType w:val="multilevel"/>
    <w:tmpl w:val="EFDC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D456B7"/>
    <w:multiLevelType w:val="multilevel"/>
    <w:tmpl w:val="BF86E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5E0A16"/>
    <w:multiLevelType w:val="multilevel"/>
    <w:tmpl w:val="6126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700550">
    <w:abstractNumId w:val="14"/>
  </w:num>
  <w:num w:numId="2" w16cid:durableId="2046981449">
    <w:abstractNumId w:val="24"/>
  </w:num>
  <w:num w:numId="3" w16cid:durableId="1598631753">
    <w:abstractNumId w:val="17"/>
  </w:num>
  <w:num w:numId="4" w16cid:durableId="1104769111">
    <w:abstractNumId w:val="25"/>
  </w:num>
  <w:num w:numId="5" w16cid:durableId="507981540">
    <w:abstractNumId w:val="33"/>
  </w:num>
  <w:num w:numId="6" w16cid:durableId="1445492806">
    <w:abstractNumId w:val="10"/>
  </w:num>
  <w:num w:numId="7" w16cid:durableId="1930963958">
    <w:abstractNumId w:val="27"/>
  </w:num>
  <w:num w:numId="8" w16cid:durableId="1812016958">
    <w:abstractNumId w:val="12"/>
  </w:num>
  <w:num w:numId="9" w16cid:durableId="162667414">
    <w:abstractNumId w:val="5"/>
  </w:num>
  <w:num w:numId="10" w16cid:durableId="537158807">
    <w:abstractNumId w:val="2"/>
  </w:num>
  <w:num w:numId="11" w16cid:durableId="1366058367">
    <w:abstractNumId w:val="13"/>
  </w:num>
  <w:num w:numId="12" w16cid:durableId="2047369571">
    <w:abstractNumId w:val="1"/>
  </w:num>
  <w:num w:numId="13" w16cid:durableId="1583636422">
    <w:abstractNumId w:val="26"/>
  </w:num>
  <w:num w:numId="14" w16cid:durableId="1238637785">
    <w:abstractNumId w:val="31"/>
  </w:num>
  <w:num w:numId="15" w16cid:durableId="2136629726">
    <w:abstractNumId w:val="29"/>
  </w:num>
  <w:num w:numId="16" w16cid:durableId="1930037826">
    <w:abstractNumId w:val="21"/>
  </w:num>
  <w:num w:numId="17" w16cid:durableId="31468264">
    <w:abstractNumId w:val="8"/>
  </w:num>
  <w:num w:numId="18" w16cid:durableId="1979872198">
    <w:abstractNumId w:val="23"/>
  </w:num>
  <w:num w:numId="19" w16cid:durableId="1270313181">
    <w:abstractNumId w:val="19"/>
  </w:num>
  <w:num w:numId="20" w16cid:durableId="1571429427">
    <w:abstractNumId w:val="4"/>
  </w:num>
  <w:num w:numId="21" w16cid:durableId="336926280">
    <w:abstractNumId w:val="9"/>
  </w:num>
  <w:num w:numId="22" w16cid:durableId="753474966">
    <w:abstractNumId w:val="3"/>
  </w:num>
  <w:num w:numId="23" w16cid:durableId="362023680">
    <w:abstractNumId w:val="20"/>
  </w:num>
  <w:num w:numId="24" w16cid:durableId="630943122">
    <w:abstractNumId w:val="16"/>
  </w:num>
  <w:num w:numId="25" w16cid:durableId="1860580144">
    <w:abstractNumId w:val="28"/>
  </w:num>
  <w:num w:numId="26" w16cid:durableId="596711539">
    <w:abstractNumId w:val="30"/>
  </w:num>
  <w:num w:numId="27" w16cid:durableId="2035960204">
    <w:abstractNumId w:val="15"/>
  </w:num>
  <w:num w:numId="28" w16cid:durableId="577907774">
    <w:abstractNumId w:val="22"/>
  </w:num>
  <w:num w:numId="29" w16cid:durableId="1892498990">
    <w:abstractNumId w:val="32"/>
  </w:num>
  <w:num w:numId="30" w16cid:durableId="1929580846">
    <w:abstractNumId w:val="7"/>
  </w:num>
  <w:num w:numId="31" w16cid:durableId="1904371929">
    <w:abstractNumId w:val="18"/>
  </w:num>
  <w:num w:numId="32" w16cid:durableId="1088693485">
    <w:abstractNumId w:val="6"/>
  </w:num>
  <w:num w:numId="33" w16cid:durableId="46995772">
    <w:abstractNumId w:val="11"/>
  </w:num>
  <w:num w:numId="34" w16cid:durableId="214783692">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BF"/>
    <w:rsid w:val="000215DC"/>
    <w:rsid w:val="0006652C"/>
    <w:rsid w:val="00073A00"/>
    <w:rsid w:val="00086167"/>
    <w:rsid w:val="000D79CC"/>
    <w:rsid w:val="000F47E9"/>
    <w:rsid w:val="00103747"/>
    <w:rsid w:val="00104282"/>
    <w:rsid w:val="00140FD7"/>
    <w:rsid w:val="001570D1"/>
    <w:rsid w:val="00162728"/>
    <w:rsid w:val="001D2D48"/>
    <w:rsid w:val="001E3705"/>
    <w:rsid w:val="001E51A1"/>
    <w:rsid w:val="001F7036"/>
    <w:rsid w:val="002012D0"/>
    <w:rsid w:val="00261C6F"/>
    <w:rsid w:val="0026548F"/>
    <w:rsid w:val="00305949"/>
    <w:rsid w:val="00332ECF"/>
    <w:rsid w:val="00335F47"/>
    <w:rsid w:val="003371A5"/>
    <w:rsid w:val="003379E3"/>
    <w:rsid w:val="00344A41"/>
    <w:rsid w:val="00371789"/>
    <w:rsid w:val="003A1070"/>
    <w:rsid w:val="003C2763"/>
    <w:rsid w:val="003F57A1"/>
    <w:rsid w:val="004221C4"/>
    <w:rsid w:val="0046011B"/>
    <w:rsid w:val="004611EF"/>
    <w:rsid w:val="00493FA8"/>
    <w:rsid w:val="004B43D3"/>
    <w:rsid w:val="004F6DBC"/>
    <w:rsid w:val="005139F2"/>
    <w:rsid w:val="005432C8"/>
    <w:rsid w:val="005635D1"/>
    <w:rsid w:val="005A68CB"/>
    <w:rsid w:val="005B35F6"/>
    <w:rsid w:val="005D3C00"/>
    <w:rsid w:val="005E2C91"/>
    <w:rsid w:val="005E776B"/>
    <w:rsid w:val="0060575A"/>
    <w:rsid w:val="00621A29"/>
    <w:rsid w:val="0063440B"/>
    <w:rsid w:val="00670640"/>
    <w:rsid w:val="00681276"/>
    <w:rsid w:val="006F3BFE"/>
    <w:rsid w:val="00705D16"/>
    <w:rsid w:val="00723393"/>
    <w:rsid w:val="007337A6"/>
    <w:rsid w:val="0073778C"/>
    <w:rsid w:val="0074682D"/>
    <w:rsid w:val="00762859"/>
    <w:rsid w:val="00765E18"/>
    <w:rsid w:val="0077500A"/>
    <w:rsid w:val="0078040B"/>
    <w:rsid w:val="00794A67"/>
    <w:rsid w:val="007B2985"/>
    <w:rsid w:val="007B7361"/>
    <w:rsid w:val="007C573C"/>
    <w:rsid w:val="007E28DC"/>
    <w:rsid w:val="007F3BE9"/>
    <w:rsid w:val="008733C3"/>
    <w:rsid w:val="008B52E9"/>
    <w:rsid w:val="008C37B9"/>
    <w:rsid w:val="008F50B0"/>
    <w:rsid w:val="008F5784"/>
    <w:rsid w:val="009125EA"/>
    <w:rsid w:val="009370A5"/>
    <w:rsid w:val="00945AE4"/>
    <w:rsid w:val="00975226"/>
    <w:rsid w:val="009AB408"/>
    <w:rsid w:val="00A12568"/>
    <w:rsid w:val="00A31826"/>
    <w:rsid w:val="00A618D9"/>
    <w:rsid w:val="00A6683B"/>
    <w:rsid w:val="00AC4505"/>
    <w:rsid w:val="00B060FA"/>
    <w:rsid w:val="00B46311"/>
    <w:rsid w:val="00B73CBF"/>
    <w:rsid w:val="00BC6CC8"/>
    <w:rsid w:val="00BD391E"/>
    <w:rsid w:val="00C552A8"/>
    <w:rsid w:val="00C62CC2"/>
    <w:rsid w:val="00C9070B"/>
    <w:rsid w:val="00C9529C"/>
    <w:rsid w:val="00CA1688"/>
    <w:rsid w:val="00CC374A"/>
    <w:rsid w:val="00CE7466"/>
    <w:rsid w:val="00D351ED"/>
    <w:rsid w:val="00D623A3"/>
    <w:rsid w:val="00D802B2"/>
    <w:rsid w:val="00D8596F"/>
    <w:rsid w:val="00DB5C04"/>
    <w:rsid w:val="00E04AF5"/>
    <w:rsid w:val="00E134B1"/>
    <w:rsid w:val="00E25752"/>
    <w:rsid w:val="00E42B40"/>
    <w:rsid w:val="00E854CD"/>
    <w:rsid w:val="00EA0233"/>
    <w:rsid w:val="00EA5BED"/>
    <w:rsid w:val="00EB2A9B"/>
    <w:rsid w:val="00ED7464"/>
    <w:rsid w:val="00F05951"/>
    <w:rsid w:val="00F44F15"/>
    <w:rsid w:val="00F5149F"/>
    <w:rsid w:val="00F91DD6"/>
    <w:rsid w:val="00FA108B"/>
    <w:rsid w:val="00FB75DB"/>
    <w:rsid w:val="00FC3E70"/>
    <w:rsid w:val="00FF7F31"/>
    <w:rsid w:val="01F54B3C"/>
    <w:rsid w:val="03A67C2E"/>
    <w:rsid w:val="08B33DF7"/>
    <w:rsid w:val="0BA90C81"/>
    <w:rsid w:val="0F026A84"/>
    <w:rsid w:val="13C666BC"/>
    <w:rsid w:val="190CC9AC"/>
    <w:rsid w:val="1BFCA1A3"/>
    <w:rsid w:val="1CBC12FC"/>
    <w:rsid w:val="1F279F9E"/>
    <w:rsid w:val="1F333C5E"/>
    <w:rsid w:val="202CA304"/>
    <w:rsid w:val="28C90AF6"/>
    <w:rsid w:val="2B08AA7C"/>
    <w:rsid w:val="2D830242"/>
    <w:rsid w:val="2DE5B4AE"/>
    <w:rsid w:val="37D03973"/>
    <w:rsid w:val="429B9015"/>
    <w:rsid w:val="4B0A095F"/>
    <w:rsid w:val="4B9C5E9A"/>
    <w:rsid w:val="4E9D5848"/>
    <w:rsid w:val="4EEF1944"/>
    <w:rsid w:val="54634B2B"/>
    <w:rsid w:val="557463CC"/>
    <w:rsid w:val="5595CD15"/>
    <w:rsid w:val="5830293E"/>
    <w:rsid w:val="59B1F1E9"/>
    <w:rsid w:val="5D2474E8"/>
    <w:rsid w:val="5E4EC4F4"/>
    <w:rsid w:val="62AEA93B"/>
    <w:rsid w:val="63577A81"/>
    <w:rsid w:val="6483198D"/>
    <w:rsid w:val="65DBEEEC"/>
    <w:rsid w:val="65FA87BA"/>
    <w:rsid w:val="66D45296"/>
    <w:rsid w:val="6D3E5C28"/>
    <w:rsid w:val="6F226DCC"/>
    <w:rsid w:val="76371336"/>
    <w:rsid w:val="76C714AE"/>
    <w:rsid w:val="76D745F9"/>
    <w:rsid w:val="79345289"/>
    <w:rsid w:val="7A9AC41F"/>
    <w:rsid w:val="7ECF5BB3"/>
    <w:rsid w:val="7F7E93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46CFC"/>
  <w15:chartTrackingRefBased/>
  <w15:docId w15:val="{BCA37D2C-49DA-4FA8-8C2B-E39FB2ED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F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6683B"/>
    <w:pPr>
      <w:keepNext/>
      <w:keepLines/>
      <w:spacing w:before="400" w:after="40"/>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A6683B"/>
    <w:pPr>
      <w:keepNext/>
      <w:keepLines/>
      <w:spacing w:before="40"/>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unhideWhenUsed/>
    <w:qFormat/>
    <w:rsid w:val="00A6683B"/>
    <w:pPr>
      <w:keepNext/>
      <w:keepLines/>
      <w:spacing w:before="40"/>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unhideWhenUsed/>
    <w:qFormat/>
    <w:rsid w:val="00A6683B"/>
    <w:pPr>
      <w:keepNext/>
      <w:keepLines/>
      <w:spacing w:before="40"/>
      <w:outlineLvl w:val="3"/>
    </w:pPr>
    <w:rPr>
      <w:rFonts w:asciiTheme="majorHAnsi" w:eastAsiaTheme="majorEastAsia" w:hAnsiTheme="majorHAnsi" w:cstheme="majorBidi"/>
      <w:color w:val="1481AB" w:themeColor="accent1" w:themeShade="BF"/>
    </w:rPr>
  </w:style>
  <w:style w:type="paragraph" w:styleId="Heading5">
    <w:name w:val="heading 5"/>
    <w:basedOn w:val="Normal"/>
    <w:next w:val="Normal"/>
    <w:link w:val="Heading5Char"/>
    <w:uiPriority w:val="9"/>
    <w:unhideWhenUsed/>
    <w:qFormat/>
    <w:rsid w:val="00A6683B"/>
    <w:pPr>
      <w:keepNext/>
      <w:keepLines/>
      <w:spacing w:before="4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A6683B"/>
    <w:pPr>
      <w:keepNext/>
      <w:keepLines/>
      <w:spacing w:before="4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A6683B"/>
    <w:pPr>
      <w:keepNext/>
      <w:keepLines/>
      <w:spacing w:before="4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A6683B"/>
    <w:pPr>
      <w:keepNext/>
      <w:keepLines/>
      <w:spacing w:before="4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A6683B"/>
    <w:pPr>
      <w:keepNext/>
      <w:keepLines/>
      <w:spacing w:before="4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A9B"/>
    <w:pPr>
      <w:ind w:left="720"/>
      <w:contextualSpacing/>
    </w:pPr>
  </w:style>
  <w:style w:type="paragraph" w:styleId="BalloonText">
    <w:name w:val="Balloon Text"/>
    <w:basedOn w:val="Normal"/>
    <w:link w:val="BalloonTextChar"/>
    <w:uiPriority w:val="99"/>
    <w:semiHidden/>
    <w:unhideWhenUsed/>
    <w:rsid w:val="000665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52C"/>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A6683B"/>
    <w:rPr>
      <w:rFonts w:asciiTheme="majorHAnsi" w:eastAsiaTheme="majorEastAsia" w:hAnsiTheme="majorHAnsi" w:cstheme="majorBidi"/>
      <w:color w:val="1481AB" w:themeColor="accent1" w:themeShade="BF"/>
      <w:sz w:val="24"/>
      <w:szCs w:val="24"/>
    </w:rPr>
  </w:style>
  <w:style w:type="character" w:styleId="Strong">
    <w:name w:val="Strong"/>
    <w:basedOn w:val="DefaultParagraphFont"/>
    <w:uiPriority w:val="22"/>
    <w:qFormat/>
    <w:rsid w:val="00A6683B"/>
    <w:rPr>
      <w:b/>
      <w:bCs/>
    </w:rPr>
  </w:style>
  <w:style w:type="paragraph" w:styleId="NormalWeb">
    <w:name w:val="Normal (Web)"/>
    <w:basedOn w:val="Normal"/>
    <w:uiPriority w:val="99"/>
    <w:unhideWhenUsed/>
    <w:rsid w:val="0078040B"/>
    <w:pPr>
      <w:spacing w:before="100" w:beforeAutospacing="1" w:after="100" w:afterAutospacing="1"/>
    </w:pPr>
  </w:style>
  <w:style w:type="character" w:customStyle="1" w:styleId="Heading3Char">
    <w:name w:val="Heading 3 Char"/>
    <w:basedOn w:val="DefaultParagraphFont"/>
    <w:link w:val="Heading3"/>
    <w:uiPriority w:val="9"/>
    <w:rsid w:val="00A6683B"/>
    <w:rPr>
      <w:rFonts w:asciiTheme="majorHAnsi" w:eastAsiaTheme="majorEastAsia" w:hAnsiTheme="majorHAnsi" w:cstheme="majorBidi"/>
      <w:color w:val="1481AB" w:themeColor="accent1" w:themeShade="BF"/>
      <w:sz w:val="28"/>
      <w:szCs w:val="28"/>
    </w:rPr>
  </w:style>
  <w:style w:type="table" w:styleId="TableGrid">
    <w:name w:val="Table Grid"/>
    <w:basedOn w:val="TableNormal"/>
    <w:uiPriority w:val="39"/>
    <w:rsid w:val="00AC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683B"/>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rsid w:val="00A6683B"/>
    <w:rPr>
      <w:rFonts w:asciiTheme="majorHAnsi" w:eastAsiaTheme="majorEastAsia" w:hAnsiTheme="majorHAnsi" w:cstheme="majorBidi"/>
      <w:color w:val="1481AB" w:themeColor="accent1" w:themeShade="BF"/>
      <w:sz w:val="32"/>
      <w:szCs w:val="32"/>
    </w:rPr>
  </w:style>
  <w:style w:type="character" w:customStyle="1" w:styleId="Heading5Char">
    <w:name w:val="Heading 5 Char"/>
    <w:basedOn w:val="DefaultParagraphFont"/>
    <w:link w:val="Heading5"/>
    <w:uiPriority w:val="9"/>
    <w:rsid w:val="00A6683B"/>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A6683B"/>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A6683B"/>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A6683B"/>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A6683B"/>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A6683B"/>
    <w:rPr>
      <w:b/>
      <w:bCs/>
      <w:smallCaps/>
      <w:color w:val="1485A4" w:themeColor="text2"/>
    </w:rPr>
  </w:style>
  <w:style w:type="paragraph" w:styleId="Title">
    <w:name w:val="Title"/>
    <w:basedOn w:val="Normal"/>
    <w:next w:val="Normal"/>
    <w:link w:val="TitleChar"/>
    <w:uiPriority w:val="10"/>
    <w:qFormat/>
    <w:rsid w:val="00A6683B"/>
    <w:pPr>
      <w:spacing w:line="204" w:lineRule="auto"/>
      <w:contextualSpacing/>
    </w:pPr>
    <w:rPr>
      <w:rFonts w:asciiTheme="majorHAnsi" w:eastAsiaTheme="majorEastAsia" w:hAnsiTheme="majorHAnsi" w:cstheme="majorBidi"/>
      <w:caps/>
      <w:color w:val="1485A4" w:themeColor="text2"/>
      <w:spacing w:val="-15"/>
      <w:sz w:val="72"/>
      <w:szCs w:val="72"/>
    </w:rPr>
  </w:style>
  <w:style w:type="character" w:customStyle="1" w:styleId="TitleChar">
    <w:name w:val="Title Char"/>
    <w:basedOn w:val="DefaultParagraphFont"/>
    <w:link w:val="Title"/>
    <w:uiPriority w:val="10"/>
    <w:rsid w:val="00A6683B"/>
    <w:rPr>
      <w:rFonts w:asciiTheme="majorHAnsi" w:eastAsiaTheme="majorEastAsia" w:hAnsiTheme="majorHAnsi" w:cstheme="majorBidi"/>
      <w:caps/>
      <w:color w:val="1485A4" w:themeColor="text2"/>
      <w:spacing w:val="-15"/>
      <w:sz w:val="72"/>
      <w:szCs w:val="72"/>
    </w:rPr>
  </w:style>
  <w:style w:type="paragraph" w:styleId="Subtitle">
    <w:name w:val="Subtitle"/>
    <w:basedOn w:val="Normal"/>
    <w:next w:val="Normal"/>
    <w:link w:val="SubtitleChar"/>
    <w:uiPriority w:val="11"/>
    <w:qFormat/>
    <w:rsid w:val="00A6683B"/>
    <w:pPr>
      <w:numPr>
        <w:ilvl w:val="1"/>
      </w:numPr>
      <w:spacing w:after="240"/>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A6683B"/>
    <w:rPr>
      <w:rFonts w:asciiTheme="majorHAnsi" w:eastAsiaTheme="majorEastAsia" w:hAnsiTheme="majorHAnsi" w:cstheme="majorBidi"/>
      <w:color w:val="1CADE4" w:themeColor="accent1"/>
      <w:sz w:val="28"/>
      <w:szCs w:val="28"/>
    </w:rPr>
  </w:style>
  <w:style w:type="character" w:styleId="Emphasis">
    <w:name w:val="Emphasis"/>
    <w:basedOn w:val="DefaultParagraphFont"/>
    <w:uiPriority w:val="20"/>
    <w:qFormat/>
    <w:rsid w:val="00A6683B"/>
    <w:rPr>
      <w:i/>
      <w:iCs/>
    </w:rPr>
  </w:style>
  <w:style w:type="paragraph" w:styleId="NoSpacing">
    <w:name w:val="No Spacing"/>
    <w:uiPriority w:val="1"/>
    <w:qFormat/>
    <w:rsid w:val="00A6683B"/>
    <w:pPr>
      <w:spacing w:after="0" w:line="240" w:lineRule="auto"/>
    </w:pPr>
  </w:style>
  <w:style w:type="paragraph" w:styleId="Quote">
    <w:name w:val="Quote"/>
    <w:basedOn w:val="Normal"/>
    <w:next w:val="Normal"/>
    <w:link w:val="QuoteChar"/>
    <w:uiPriority w:val="29"/>
    <w:qFormat/>
    <w:rsid w:val="00A6683B"/>
    <w:pPr>
      <w:spacing w:before="120" w:after="120"/>
      <w:ind w:left="720"/>
    </w:pPr>
    <w:rPr>
      <w:color w:val="1485A4" w:themeColor="text2"/>
    </w:rPr>
  </w:style>
  <w:style w:type="character" w:customStyle="1" w:styleId="QuoteChar">
    <w:name w:val="Quote Char"/>
    <w:basedOn w:val="DefaultParagraphFont"/>
    <w:link w:val="Quote"/>
    <w:uiPriority w:val="29"/>
    <w:rsid w:val="00A6683B"/>
    <w:rPr>
      <w:color w:val="1485A4" w:themeColor="text2"/>
      <w:sz w:val="24"/>
      <w:szCs w:val="24"/>
    </w:rPr>
  </w:style>
  <w:style w:type="paragraph" w:styleId="IntenseQuote">
    <w:name w:val="Intense Quote"/>
    <w:basedOn w:val="Normal"/>
    <w:next w:val="Normal"/>
    <w:link w:val="IntenseQuoteChar"/>
    <w:uiPriority w:val="30"/>
    <w:qFormat/>
    <w:rsid w:val="00A6683B"/>
    <w:pPr>
      <w:spacing w:before="100" w:beforeAutospacing="1" w:after="240"/>
      <w:ind w:left="720"/>
      <w:jc w:val="center"/>
    </w:pPr>
    <w:rPr>
      <w:rFonts w:asciiTheme="majorHAnsi" w:eastAsiaTheme="majorEastAsia" w:hAnsiTheme="majorHAnsi" w:cstheme="majorBidi"/>
      <w:color w:val="1485A4" w:themeColor="text2"/>
      <w:spacing w:val="-6"/>
      <w:sz w:val="32"/>
      <w:szCs w:val="32"/>
    </w:rPr>
  </w:style>
  <w:style w:type="character" w:customStyle="1" w:styleId="IntenseQuoteChar">
    <w:name w:val="Intense Quote Char"/>
    <w:basedOn w:val="DefaultParagraphFont"/>
    <w:link w:val="IntenseQuote"/>
    <w:uiPriority w:val="30"/>
    <w:rsid w:val="00A6683B"/>
    <w:rPr>
      <w:rFonts w:asciiTheme="majorHAnsi" w:eastAsiaTheme="majorEastAsia" w:hAnsiTheme="majorHAnsi" w:cstheme="majorBidi"/>
      <w:color w:val="1485A4" w:themeColor="text2"/>
      <w:spacing w:val="-6"/>
      <w:sz w:val="32"/>
      <w:szCs w:val="32"/>
    </w:rPr>
  </w:style>
  <w:style w:type="character" w:styleId="SubtleEmphasis">
    <w:name w:val="Subtle Emphasis"/>
    <w:basedOn w:val="DefaultParagraphFont"/>
    <w:uiPriority w:val="19"/>
    <w:qFormat/>
    <w:rsid w:val="00A6683B"/>
    <w:rPr>
      <w:i/>
      <w:iCs/>
      <w:color w:val="595959" w:themeColor="text1" w:themeTint="A6"/>
    </w:rPr>
  </w:style>
  <w:style w:type="character" w:styleId="IntenseEmphasis">
    <w:name w:val="Intense Emphasis"/>
    <w:basedOn w:val="DefaultParagraphFont"/>
    <w:uiPriority w:val="21"/>
    <w:qFormat/>
    <w:rsid w:val="00A6683B"/>
    <w:rPr>
      <w:b/>
      <w:bCs/>
      <w:i/>
      <w:iCs/>
    </w:rPr>
  </w:style>
  <w:style w:type="character" w:styleId="SubtleReference">
    <w:name w:val="Subtle Reference"/>
    <w:basedOn w:val="DefaultParagraphFont"/>
    <w:uiPriority w:val="31"/>
    <w:qFormat/>
    <w:rsid w:val="00A6683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683B"/>
    <w:rPr>
      <w:b/>
      <w:bCs/>
      <w:smallCaps/>
      <w:color w:val="1485A4" w:themeColor="text2"/>
      <w:u w:val="single"/>
    </w:rPr>
  </w:style>
  <w:style w:type="character" w:styleId="BookTitle">
    <w:name w:val="Book Title"/>
    <w:basedOn w:val="DefaultParagraphFont"/>
    <w:uiPriority w:val="33"/>
    <w:qFormat/>
    <w:rsid w:val="00A6683B"/>
    <w:rPr>
      <w:b/>
      <w:bCs/>
      <w:smallCaps/>
      <w:spacing w:val="10"/>
    </w:rPr>
  </w:style>
  <w:style w:type="paragraph" w:styleId="TOCHeading">
    <w:name w:val="TOC Heading"/>
    <w:basedOn w:val="Heading1"/>
    <w:next w:val="Normal"/>
    <w:uiPriority w:val="39"/>
    <w:unhideWhenUsed/>
    <w:qFormat/>
    <w:rsid w:val="00A6683B"/>
    <w:pPr>
      <w:outlineLvl w:val="9"/>
    </w:pPr>
  </w:style>
  <w:style w:type="paragraph" w:styleId="TOC1">
    <w:name w:val="toc 1"/>
    <w:basedOn w:val="Normal"/>
    <w:next w:val="Normal"/>
    <w:autoRedefine/>
    <w:uiPriority w:val="39"/>
    <w:unhideWhenUsed/>
    <w:rsid w:val="00A6683B"/>
    <w:pPr>
      <w:spacing w:after="100"/>
    </w:pPr>
  </w:style>
  <w:style w:type="character" w:styleId="Hyperlink">
    <w:name w:val="Hyperlink"/>
    <w:basedOn w:val="DefaultParagraphFont"/>
    <w:uiPriority w:val="99"/>
    <w:unhideWhenUsed/>
    <w:rsid w:val="00A6683B"/>
    <w:rPr>
      <w:color w:val="F49100" w:themeColor="hyperlink"/>
      <w:u w:val="single"/>
    </w:rPr>
  </w:style>
  <w:style w:type="paragraph" w:styleId="TOC3">
    <w:name w:val="toc 3"/>
    <w:basedOn w:val="Normal"/>
    <w:next w:val="Normal"/>
    <w:autoRedefine/>
    <w:uiPriority w:val="39"/>
    <w:unhideWhenUsed/>
    <w:rsid w:val="00140FD7"/>
    <w:pPr>
      <w:spacing w:after="100"/>
      <w:ind w:left="440"/>
    </w:pPr>
  </w:style>
  <w:style w:type="paragraph" w:styleId="TOC2">
    <w:name w:val="toc 2"/>
    <w:basedOn w:val="Normal"/>
    <w:next w:val="Normal"/>
    <w:autoRedefine/>
    <w:uiPriority w:val="39"/>
    <w:unhideWhenUsed/>
    <w:rsid w:val="00344A41"/>
    <w:pPr>
      <w:spacing w:after="100"/>
      <w:ind w:left="22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D74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614">
      <w:bodyDiv w:val="1"/>
      <w:marLeft w:val="0"/>
      <w:marRight w:val="0"/>
      <w:marTop w:val="0"/>
      <w:marBottom w:val="0"/>
      <w:divBdr>
        <w:top w:val="none" w:sz="0" w:space="0" w:color="auto"/>
        <w:left w:val="none" w:sz="0" w:space="0" w:color="auto"/>
        <w:bottom w:val="none" w:sz="0" w:space="0" w:color="auto"/>
        <w:right w:val="none" w:sz="0" w:space="0" w:color="auto"/>
      </w:divBdr>
    </w:div>
    <w:div w:id="56637326">
      <w:bodyDiv w:val="1"/>
      <w:marLeft w:val="0"/>
      <w:marRight w:val="0"/>
      <w:marTop w:val="0"/>
      <w:marBottom w:val="0"/>
      <w:divBdr>
        <w:top w:val="none" w:sz="0" w:space="0" w:color="auto"/>
        <w:left w:val="none" w:sz="0" w:space="0" w:color="auto"/>
        <w:bottom w:val="none" w:sz="0" w:space="0" w:color="auto"/>
        <w:right w:val="none" w:sz="0" w:space="0" w:color="auto"/>
      </w:divBdr>
    </w:div>
    <w:div w:id="152838300">
      <w:bodyDiv w:val="1"/>
      <w:marLeft w:val="0"/>
      <w:marRight w:val="0"/>
      <w:marTop w:val="0"/>
      <w:marBottom w:val="0"/>
      <w:divBdr>
        <w:top w:val="none" w:sz="0" w:space="0" w:color="auto"/>
        <w:left w:val="none" w:sz="0" w:space="0" w:color="auto"/>
        <w:bottom w:val="none" w:sz="0" w:space="0" w:color="auto"/>
        <w:right w:val="none" w:sz="0" w:space="0" w:color="auto"/>
      </w:divBdr>
    </w:div>
    <w:div w:id="201290649">
      <w:bodyDiv w:val="1"/>
      <w:marLeft w:val="0"/>
      <w:marRight w:val="0"/>
      <w:marTop w:val="0"/>
      <w:marBottom w:val="0"/>
      <w:divBdr>
        <w:top w:val="none" w:sz="0" w:space="0" w:color="auto"/>
        <w:left w:val="none" w:sz="0" w:space="0" w:color="auto"/>
        <w:bottom w:val="none" w:sz="0" w:space="0" w:color="auto"/>
        <w:right w:val="none" w:sz="0" w:space="0" w:color="auto"/>
      </w:divBdr>
    </w:div>
    <w:div w:id="269091054">
      <w:bodyDiv w:val="1"/>
      <w:marLeft w:val="0"/>
      <w:marRight w:val="0"/>
      <w:marTop w:val="0"/>
      <w:marBottom w:val="0"/>
      <w:divBdr>
        <w:top w:val="none" w:sz="0" w:space="0" w:color="auto"/>
        <w:left w:val="none" w:sz="0" w:space="0" w:color="auto"/>
        <w:bottom w:val="none" w:sz="0" w:space="0" w:color="auto"/>
        <w:right w:val="none" w:sz="0" w:space="0" w:color="auto"/>
      </w:divBdr>
    </w:div>
    <w:div w:id="289213579">
      <w:bodyDiv w:val="1"/>
      <w:marLeft w:val="0"/>
      <w:marRight w:val="0"/>
      <w:marTop w:val="0"/>
      <w:marBottom w:val="0"/>
      <w:divBdr>
        <w:top w:val="none" w:sz="0" w:space="0" w:color="auto"/>
        <w:left w:val="none" w:sz="0" w:space="0" w:color="auto"/>
        <w:bottom w:val="none" w:sz="0" w:space="0" w:color="auto"/>
        <w:right w:val="none" w:sz="0" w:space="0" w:color="auto"/>
      </w:divBdr>
    </w:div>
    <w:div w:id="320427747">
      <w:bodyDiv w:val="1"/>
      <w:marLeft w:val="0"/>
      <w:marRight w:val="0"/>
      <w:marTop w:val="0"/>
      <w:marBottom w:val="0"/>
      <w:divBdr>
        <w:top w:val="none" w:sz="0" w:space="0" w:color="auto"/>
        <w:left w:val="none" w:sz="0" w:space="0" w:color="auto"/>
        <w:bottom w:val="none" w:sz="0" w:space="0" w:color="auto"/>
        <w:right w:val="none" w:sz="0" w:space="0" w:color="auto"/>
      </w:divBdr>
    </w:div>
    <w:div w:id="326710451">
      <w:bodyDiv w:val="1"/>
      <w:marLeft w:val="0"/>
      <w:marRight w:val="0"/>
      <w:marTop w:val="0"/>
      <w:marBottom w:val="0"/>
      <w:divBdr>
        <w:top w:val="none" w:sz="0" w:space="0" w:color="auto"/>
        <w:left w:val="none" w:sz="0" w:space="0" w:color="auto"/>
        <w:bottom w:val="none" w:sz="0" w:space="0" w:color="auto"/>
        <w:right w:val="none" w:sz="0" w:space="0" w:color="auto"/>
      </w:divBdr>
    </w:div>
    <w:div w:id="374501413">
      <w:bodyDiv w:val="1"/>
      <w:marLeft w:val="0"/>
      <w:marRight w:val="0"/>
      <w:marTop w:val="0"/>
      <w:marBottom w:val="0"/>
      <w:divBdr>
        <w:top w:val="none" w:sz="0" w:space="0" w:color="auto"/>
        <w:left w:val="none" w:sz="0" w:space="0" w:color="auto"/>
        <w:bottom w:val="none" w:sz="0" w:space="0" w:color="auto"/>
        <w:right w:val="none" w:sz="0" w:space="0" w:color="auto"/>
      </w:divBdr>
    </w:div>
    <w:div w:id="437139096">
      <w:bodyDiv w:val="1"/>
      <w:marLeft w:val="0"/>
      <w:marRight w:val="0"/>
      <w:marTop w:val="0"/>
      <w:marBottom w:val="0"/>
      <w:divBdr>
        <w:top w:val="none" w:sz="0" w:space="0" w:color="auto"/>
        <w:left w:val="none" w:sz="0" w:space="0" w:color="auto"/>
        <w:bottom w:val="none" w:sz="0" w:space="0" w:color="auto"/>
        <w:right w:val="none" w:sz="0" w:space="0" w:color="auto"/>
      </w:divBdr>
    </w:div>
    <w:div w:id="457604373">
      <w:bodyDiv w:val="1"/>
      <w:marLeft w:val="0"/>
      <w:marRight w:val="0"/>
      <w:marTop w:val="0"/>
      <w:marBottom w:val="0"/>
      <w:divBdr>
        <w:top w:val="none" w:sz="0" w:space="0" w:color="auto"/>
        <w:left w:val="none" w:sz="0" w:space="0" w:color="auto"/>
        <w:bottom w:val="none" w:sz="0" w:space="0" w:color="auto"/>
        <w:right w:val="none" w:sz="0" w:space="0" w:color="auto"/>
      </w:divBdr>
    </w:div>
    <w:div w:id="472908345">
      <w:bodyDiv w:val="1"/>
      <w:marLeft w:val="0"/>
      <w:marRight w:val="0"/>
      <w:marTop w:val="0"/>
      <w:marBottom w:val="0"/>
      <w:divBdr>
        <w:top w:val="none" w:sz="0" w:space="0" w:color="auto"/>
        <w:left w:val="none" w:sz="0" w:space="0" w:color="auto"/>
        <w:bottom w:val="none" w:sz="0" w:space="0" w:color="auto"/>
        <w:right w:val="none" w:sz="0" w:space="0" w:color="auto"/>
      </w:divBdr>
    </w:div>
    <w:div w:id="513346481">
      <w:bodyDiv w:val="1"/>
      <w:marLeft w:val="0"/>
      <w:marRight w:val="0"/>
      <w:marTop w:val="0"/>
      <w:marBottom w:val="0"/>
      <w:divBdr>
        <w:top w:val="none" w:sz="0" w:space="0" w:color="auto"/>
        <w:left w:val="none" w:sz="0" w:space="0" w:color="auto"/>
        <w:bottom w:val="none" w:sz="0" w:space="0" w:color="auto"/>
        <w:right w:val="none" w:sz="0" w:space="0" w:color="auto"/>
      </w:divBdr>
    </w:div>
    <w:div w:id="516428294">
      <w:bodyDiv w:val="1"/>
      <w:marLeft w:val="0"/>
      <w:marRight w:val="0"/>
      <w:marTop w:val="0"/>
      <w:marBottom w:val="0"/>
      <w:divBdr>
        <w:top w:val="none" w:sz="0" w:space="0" w:color="auto"/>
        <w:left w:val="none" w:sz="0" w:space="0" w:color="auto"/>
        <w:bottom w:val="none" w:sz="0" w:space="0" w:color="auto"/>
        <w:right w:val="none" w:sz="0" w:space="0" w:color="auto"/>
      </w:divBdr>
    </w:div>
    <w:div w:id="559559923">
      <w:bodyDiv w:val="1"/>
      <w:marLeft w:val="0"/>
      <w:marRight w:val="0"/>
      <w:marTop w:val="0"/>
      <w:marBottom w:val="0"/>
      <w:divBdr>
        <w:top w:val="none" w:sz="0" w:space="0" w:color="auto"/>
        <w:left w:val="none" w:sz="0" w:space="0" w:color="auto"/>
        <w:bottom w:val="none" w:sz="0" w:space="0" w:color="auto"/>
        <w:right w:val="none" w:sz="0" w:space="0" w:color="auto"/>
      </w:divBdr>
    </w:div>
    <w:div w:id="621303379">
      <w:bodyDiv w:val="1"/>
      <w:marLeft w:val="0"/>
      <w:marRight w:val="0"/>
      <w:marTop w:val="0"/>
      <w:marBottom w:val="0"/>
      <w:divBdr>
        <w:top w:val="none" w:sz="0" w:space="0" w:color="auto"/>
        <w:left w:val="none" w:sz="0" w:space="0" w:color="auto"/>
        <w:bottom w:val="none" w:sz="0" w:space="0" w:color="auto"/>
        <w:right w:val="none" w:sz="0" w:space="0" w:color="auto"/>
      </w:divBdr>
    </w:div>
    <w:div w:id="625432200">
      <w:bodyDiv w:val="1"/>
      <w:marLeft w:val="0"/>
      <w:marRight w:val="0"/>
      <w:marTop w:val="0"/>
      <w:marBottom w:val="0"/>
      <w:divBdr>
        <w:top w:val="none" w:sz="0" w:space="0" w:color="auto"/>
        <w:left w:val="none" w:sz="0" w:space="0" w:color="auto"/>
        <w:bottom w:val="none" w:sz="0" w:space="0" w:color="auto"/>
        <w:right w:val="none" w:sz="0" w:space="0" w:color="auto"/>
      </w:divBdr>
    </w:div>
    <w:div w:id="828062591">
      <w:bodyDiv w:val="1"/>
      <w:marLeft w:val="0"/>
      <w:marRight w:val="0"/>
      <w:marTop w:val="0"/>
      <w:marBottom w:val="0"/>
      <w:divBdr>
        <w:top w:val="none" w:sz="0" w:space="0" w:color="auto"/>
        <w:left w:val="none" w:sz="0" w:space="0" w:color="auto"/>
        <w:bottom w:val="none" w:sz="0" w:space="0" w:color="auto"/>
        <w:right w:val="none" w:sz="0" w:space="0" w:color="auto"/>
      </w:divBdr>
    </w:div>
    <w:div w:id="832523581">
      <w:bodyDiv w:val="1"/>
      <w:marLeft w:val="0"/>
      <w:marRight w:val="0"/>
      <w:marTop w:val="0"/>
      <w:marBottom w:val="0"/>
      <w:divBdr>
        <w:top w:val="none" w:sz="0" w:space="0" w:color="auto"/>
        <w:left w:val="none" w:sz="0" w:space="0" w:color="auto"/>
        <w:bottom w:val="none" w:sz="0" w:space="0" w:color="auto"/>
        <w:right w:val="none" w:sz="0" w:space="0" w:color="auto"/>
      </w:divBdr>
    </w:div>
    <w:div w:id="899942344">
      <w:bodyDiv w:val="1"/>
      <w:marLeft w:val="0"/>
      <w:marRight w:val="0"/>
      <w:marTop w:val="0"/>
      <w:marBottom w:val="0"/>
      <w:divBdr>
        <w:top w:val="none" w:sz="0" w:space="0" w:color="auto"/>
        <w:left w:val="none" w:sz="0" w:space="0" w:color="auto"/>
        <w:bottom w:val="none" w:sz="0" w:space="0" w:color="auto"/>
        <w:right w:val="none" w:sz="0" w:space="0" w:color="auto"/>
      </w:divBdr>
    </w:div>
    <w:div w:id="934676406">
      <w:bodyDiv w:val="1"/>
      <w:marLeft w:val="0"/>
      <w:marRight w:val="0"/>
      <w:marTop w:val="0"/>
      <w:marBottom w:val="0"/>
      <w:divBdr>
        <w:top w:val="none" w:sz="0" w:space="0" w:color="auto"/>
        <w:left w:val="none" w:sz="0" w:space="0" w:color="auto"/>
        <w:bottom w:val="none" w:sz="0" w:space="0" w:color="auto"/>
        <w:right w:val="none" w:sz="0" w:space="0" w:color="auto"/>
      </w:divBdr>
    </w:div>
    <w:div w:id="939410612">
      <w:bodyDiv w:val="1"/>
      <w:marLeft w:val="0"/>
      <w:marRight w:val="0"/>
      <w:marTop w:val="0"/>
      <w:marBottom w:val="0"/>
      <w:divBdr>
        <w:top w:val="none" w:sz="0" w:space="0" w:color="auto"/>
        <w:left w:val="none" w:sz="0" w:space="0" w:color="auto"/>
        <w:bottom w:val="none" w:sz="0" w:space="0" w:color="auto"/>
        <w:right w:val="none" w:sz="0" w:space="0" w:color="auto"/>
      </w:divBdr>
    </w:div>
    <w:div w:id="1043022140">
      <w:bodyDiv w:val="1"/>
      <w:marLeft w:val="0"/>
      <w:marRight w:val="0"/>
      <w:marTop w:val="0"/>
      <w:marBottom w:val="0"/>
      <w:divBdr>
        <w:top w:val="none" w:sz="0" w:space="0" w:color="auto"/>
        <w:left w:val="none" w:sz="0" w:space="0" w:color="auto"/>
        <w:bottom w:val="none" w:sz="0" w:space="0" w:color="auto"/>
        <w:right w:val="none" w:sz="0" w:space="0" w:color="auto"/>
      </w:divBdr>
    </w:div>
    <w:div w:id="1094980414">
      <w:bodyDiv w:val="1"/>
      <w:marLeft w:val="0"/>
      <w:marRight w:val="0"/>
      <w:marTop w:val="0"/>
      <w:marBottom w:val="0"/>
      <w:divBdr>
        <w:top w:val="none" w:sz="0" w:space="0" w:color="auto"/>
        <w:left w:val="none" w:sz="0" w:space="0" w:color="auto"/>
        <w:bottom w:val="none" w:sz="0" w:space="0" w:color="auto"/>
        <w:right w:val="none" w:sz="0" w:space="0" w:color="auto"/>
      </w:divBdr>
    </w:div>
    <w:div w:id="1147015248">
      <w:bodyDiv w:val="1"/>
      <w:marLeft w:val="0"/>
      <w:marRight w:val="0"/>
      <w:marTop w:val="0"/>
      <w:marBottom w:val="0"/>
      <w:divBdr>
        <w:top w:val="none" w:sz="0" w:space="0" w:color="auto"/>
        <w:left w:val="none" w:sz="0" w:space="0" w:color="auto"/>
        <w:bottom w:val="none" w:sz="0" w:space="0" w:color="auto"/>
        <w:right w:val="none" w:sz="0" w:space="0" w:color="auto"/>
      </w:divBdr>
    </w:div>
    <w:div w:id="1164737231">
      <w:bodyDiv w:val="1"/>
      <w:marLeft w:val="0"/>
      <w:marRight w:val="0"/>
      <w:marTop w:val="0"/>
      <w:marBottom w:val="0"/>
      <w:divBdr>
        <w:top w:val="none" w:sz="0" w:space="0" w:color="auto"/>
        <w:left w:val="none" w:sz="0" w:space="0" w:color="auto"/>
        <w:bottom w:val="none" w:sz="0" w:space="0" w:color="auto"/>
        <w:right w:val="none" w:sz="0" w:space="0" w:color="auto"/>
      </w:divBdr>
    </w:div>
    <w:div w:id="1301618121">
      <w:bodyDiv w:val="1"/>
      <w:marLeft w:val="0"/>
      <w:marRight w:val="0"/>
      <w:marTop w:val="0"/>
      <w:marBottom w:val="0"/>
      <w:divBdr>
        <w:top w:val="none" w:sz="0" w:space="0" w:color="auto"/>
        <w:left w:val="none" w:sz="0" w:space="0" w:color="auto"/>
        <w:bottom w:val="none" w:sz="0" w:space="0" w:color="auto"/>
        <w:right w:val="none" w:sz="0" w:space="0" w:color="auto"/>
      </w:divBdr>
    </w:div>
    <w:div w:id="1325739593">
      <w:bodyDiv w:val="1"/>
      <w:marLeft w:val="0"/>
      <w:marRight w:val="0"/>
      <w:marTop w:val="0"/>
      <w:marBottom w:val="0"/>
      <w:divBdr>
        <w:top w:val="none" w:sz="0" w:space="0" w:color="auto"/>
        <w:left w:val="none" w:sz="0" w:space="0" w:color="auto"/>
        <w:bottom w:val="none" w:sz="0" w:space="0" w:color="auto"/>
        <w:right w:val="none" w:sz="0" w:space="0" w:color="auto"/>
      </w:divBdr>
    </w:div>
    <w:div w:id="1343975498">
      <w:bodyDiv w:val="1"/>
      <w:marLeft w:val="0"/>
      <w:marRight w:val="0"/>
      <w:marTop w:val="0"/>
      <w:marBottom w:val="0"/>
      <w:divBdr>
        <w:top w:val="none" w:sz="0" w:space="0" w:color="auto"/>
        <w:left w:val="none" w:sz="0" w:space="0" w:color="auto"/>
        <w:bottom w:val="none" w:sz="0" w:space="0" w:color="auto"/>
        <w:right w:val="none" w:sz="0" w:space="0" w:color="auto"/>
      </w:divBdr>
    </w:div>
    <w:div w:id="1393189883">
      <w:bodyDiv w:val="1"/>
      <w:marLeft w:val="0"/>
      <w:marRight w:val="0"/>
      <w:marTop w:val="0"/>
      <w:marBottom w:val="0"/>
      <w:divBdr>
        <w:top w:val="none" w:sz="0" w:space="0" w:color="auto"/>
        <w:left w:val="none" w:sz="0" w:space="0" w:color="auto"/>
        <w:bottom w:val="none" w:sz="0" w:space="0" w:color="auto"/>
        <w:right w:val="none" w:sz="0" w:space="0" w:color="auto"/>
      </w:divBdr>
    </w:div>
    <w:div w:id="1496990868">
      <w:bodyDiv w:val="1"/>
      <w:marLeft w:val="0"/>
      <w:marRight w:val="0"/>
      <w:marTop w:val="0"/>
      <w:marBottom w:val="0"/>
      <w:divBdr>
        <w:top w:val="none" w:sz="0" w:space="0" w:color="auto"/>
        <w:left w:val="none" w:sz="0" w:space="0" w:color="auto"/>
        <w:bottom w:val="none" w:sz="0" w:space="0" w:color="auto"/>
        <w:right w:val="none" w:sz="0" w:space="0" w:color="auto"/>
      </w:divBdr>
    </w:div>
    <w:div w:id="1638951102">
      <w:bodyDiv w:val="1"/>
      <w:marLeft w:val="0"/>
      <w:marRight w:val="0"/>
      <w:marTop w:val="0"/>
      <w:marBottom w:val="0"/>
      <w:divBdr>
        <w:top w:val="none" w:sz="0" w:space="0" w:color="auto"/>
        <w:left w:val="none" w:sz="0" w:space="0" w:color="auto"/>
        <w:bottom w:val="none" w:sz="0" w:space="0" w:color="auto"/>
        <w:right w:val="none" w:sz="0" w:space="0" w:color="auto"/>
      </w:divBdr>
    </w:div>
    <w:div w:id="1645308408">
      <w:bodyDiv w:val="1"/>
      <w:marLeft w:val="0"/>
      <w:marRight w:val="0"/>
      <w:marTop w:val="0"/>
      <w:marBottom w:val="0"/>
      <w:divBdr>
        <w:top w:val="none" w:sz="0" w:space="0" w:color="auto"/>
        <w:left w:val="none" w:sz="0" w:space="0" w:color="auto"/>
        <w:bottom w:val="none" w:sz="0" w:space="0" w:color="auto"/>
        <w:right w:val="none" w:sz="0" w:space="0" w:color="auto"/>
      </w:divBdr>
    </w:div>
    <w:div w:id="1899824009">
      <w:bodyDiv w:val="1"/>
      <w:marLeft w:val="0"/>
      <w:marRight w:val="0"/>
      <w:marTop w:val="0"/>
      <w:marBottom w:val="0"/>
      <w:divBdr>
        <w:top w:val="none" w:sz="0" w:space="0" w:color="auto"/>
        <w:left w:val="none" w:sz="0" w:space="0" w:color="auto"/>
        <w:bottom w:val="none" w:sz="0" w:space="0" w:color="auto"/>
        <w:right w:val="none" w:sz="0" w:space="0" w:color="auto"/>
      </w:divBdr>
    </w:div>
    <w:div w:id="1951669599">
      <w:bodyDiv w:val="1"/>
      <w:marLeft w:val="0"/>
      <w:marRight w:val="0"/>
      <w:marTop w:val="0"/>
      <w:marBottom w:val="0"/>
      <w:divBdr>
        <w:top w:val="none" w:sz="0" w:space="0" w:color="auto"/>
        <w:left w:val="none" w:sz="0" w:space="0" w:color="auto"/>
        <w:bottom w:val="none" w:sz="0" w:space="0" w:color="auto"/>
        <w:right w:val="none" w:sz="0" w:space="0" w:color="auto"/>
      </w:divBdr>
    </w:div>
    <w:div w:id="2123570611">
      <w:bodyDiv w:val="1"/>
      <w:marLeft w:val="0"/>
      <w:marRight w:val="0"/>
      <w:marTop w:val="0"/>
      <w:marBottom w:val="0"/>
      <w:divBdr>
        <w:top w:val="none" w:sz="0" w:space="0" w:color="auto"/>
        <w:left w:val="none" w:sz="0" w:space="0" w:color="auto"/>
        <w:bottom w:val="none" w:sz="0" w:space="0" w:color="auto"/>
        <w:right w:val="none" w:sz="0" w:space="0" w:color="auto"/>
      </w:divBdr>
    </w:div>
    <w:div w:id="21252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37363B4970648BB7ED7D75D783566" ma:contentTypeVersion="4" ma:contentTypeDescription="Create a new document." ma:contentTypeScope="" ma:versionID="ddbe798fce5fc8485171d03c77a4d172">
  <xsd:schema xmlns:xsd="http://www.w3.org/2001/XMLSchema" xmlns:xs="http://www.w3.org/2001/XMLSchema" xmlns:p="http://schemas.microsoft.com/office/2006/metadata/properties" xmlns:ns2="846345b3-7c29-4478-88a7-ec4b3423c796" targetNamespace="http://schemas.microsoft.com/office/2006/metadata/properties" ma:root="true" ma:fieldsID="b05bf8b3348609eee8a81911f0f7ecba" ns2:_="">
    <xsd:import namespace="846345b3-7c29-4478-88a7-ec4b3423c7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45b3-7c29-4478-88a7-ec4b3423c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7A19-3A96-49A2-8638-A4F53C73125B}">
  <ds:schemaRefs>
    <ds:schemaRef ds:uri="http://schemas.microsoft.com/sharepoint/v3/contenttype/forms"/>
  </ds:schemaRefs>
</ds:datastoreItem>
</file>

<file path=customXml/itemProps2.xml><?xml version="1.0" encoding="utf-8"?>
<ds:datastoreItem xmlns:ds="http://schemas.openxmlformats.org/officeDocument/2006/customXml" ds:itemID="{EAB77DFB-B119-4982-8A77-CCEAD604C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345b3-7c29-4478-88a7-ec4b3423c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74C9C-D571-4DAD-8EB5-FD43DD8B1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3F1A1D-52B5-4425-80A1-10D88821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5884</Words>
  <Characters>33539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Chahine.Hamze@redcross.org.lb</dc:creator>
  <cp:keywords/>
  <dc:description/>
  <cp:lastModifiedBy>Chahine Hamze</cp:lastModifiedBy>
  <cp:revision>4</cp:revision>
  <cp:lastPrinted>2025-03-03T09:24:00Z</cp:lastPrinted>
  <dcterms:created xsi:type="dcterms:W3CDTF">2025-01-29T10:26:00Z</dcterms:created>
  <dcterms:modified xsi:type="dcterms:W3CDTF">2025-03-03T09:33:00Z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2024-08-25T20:29:12Z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6e0d03b6-a1d7-48c5-b35e-1aca7e178f21</vt:lpwstr>
  </property>
  <property fmtid="{D5CDD505-2E9C-101B-9397-08002B2CF9AE}" pid="8" name="MSIP_Label_16141e2b-9e99-49a8-a378-f031a5dcd709_ContentBits">
    <vt:lpwstr>0</vt:lpwstr>
  </property>
  <property fmtid="{D5CDD505-2E9C-101B-9397-08002B2CF9AE}" pid="9" name="ContentTypeId">
    <vt:lpwstr>0x01010092937363B4970648BB7ED7D75D783566</vt:lpwstr>
  </property>
</Properties>
</file>