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7D6CE2F0"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2025-0</w:t>
      </w:r>
      <w:r w:rsidR="0030066B">
        <w:rPr>
          <w:rFonts w:cstheme="minorHAnsi"/>
          <w:b/>
          <w:bCs/>
          <w:color w:val="548DD4" w:themeColor="text2" w:themeTint="99"/>
          <w:sz w:val="28"/>
          <w:szCs w:val="28"/>
        </w:rPr>
        <w:t>34</w:t>
      </w:r>
      <w:r w:rsidR="00793DAF">
        <w:rPr>
          <w:rFonts w:cstheme="minorHAnsi"/>
          <w:b/>
          <w:bCs/>
          <w:color w:val="548DD4" w:themeColor="text2" w:themeTint="99"/>
          <w:sz w:val="28"/>
          <w:szCs w:val="28"/>
        </w:rPr>
        <w:t xml:space="preserve"> </w:t>
      </w:r>
      <w:r w:rsidR="0030066B">
        <w:rPr>
          <w:rFonts w:eastAsiaTheme="majorEastAsia" w:cstheme="minorHAnsi"/>
          <w:b/>
          <w:bCs/>
          <w:smallCaps/>
          <w:color w:val="4F81BD" w:themeColor="accent1"/>
          <w:spacing w:val="5"/>
          <w:sz w:val="26"/>
          <w:szCs w:val="26"/>
        </w:rPr>
        <w:t>Revision of the Salary Scale</w:t>
      </w:r>
    </w:p>
    <w:p w14:paraId="4475C01E" w14:textId="4FE05E4D"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11098A">
        <w:rPr>
          <w:rFonts w:cstheme="minorHAnsi"/>
        </w:rPr>
        <w:t>of</w:t>
      </w:r>
      <w:r w:rsidR="00084566">
        <w:rPr>
          <w:rFonts w:cstheme="minorHAnsi"/>
        </w:rPr>
        <w:t xml:space="preserve"> Salary Scale Revision Service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21838"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472"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472"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472" w:type="pct"/>
          </w:tcPr>
          <w:p w14:paraId="4B9EACEF" w14:textId="37705BBB" w:rsidR="008B09A4" w:rsidRPr="00A21838" w:rsidRDefault="000C43DA" w:rsidP="001505A8">
            <w:pPr>
              <w:spacing w:after="0" w:line="240" w:lineRule="auto"/>
              <w:jc w:val="both"/>
              <w:rPr>
                <w:rFonts w:cstheme="minorHAnsi"/>
              </w:rPr>
            </w:pPr>
            <w:r>
              <w:rPr>
                <w:rFonts w:cstheme="minorHAnsi"/>
              </w:rPr>
              <w:t xml:space="preserve">July </w:t>
            </w:r>
            <w:r w:rsidR="0011098A">
              <w:rPr>
                <w:rFonts w:cstheme="minorHAnsi"/>
              </w:rPr>
              <w:t>1</w:t>
            </w:r>
            <w:r w:rsidR="0030066B">
              <w:rPr>
                <w:rFonts w:cstheme="minorHAnsi"/>
              </w:rPr>
              <w:t>5,</w:t>
            </w:r>
            <w:r w:rsidR="00A21838">
              <w:rPr>
                <w:rFonts w:cstheme="minorHAnsi"/>
              </w:rPr>
              <w:t xml:space="preserve"> 2025</w:t>
            </w:r>
          </w:p>
        </w:tc>
      </w:tr>
      <w:tr w:rsidR="008B09A4" w:rsidRPr="00A21838"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472" w:type="pct"/>
          </w:tcPr>
          <w:p w14:paraId="522A4500" w14:textId="64F728DE" w:rsidR="008B09A4" w:rsidRPr="00A21838" w:rsidRDefault="0030066B" w:rsidP="001505A8">
            <w:pPr>
              <w:spacing w:after="0" w:line="240" w:lineRule="auto"/>
              <w:jc w:val="both"/>
              <w:rPr>
                <w:rFonts w:cstheme="minorHAnsi"/>
              </w:rPr>
            </w:pPr>
            <w:r>
              <w:rPr>
                <w:rFonts w:cstheme="minorHAnsi"/>
              </w:rPr>
              <w:t>August</w:t>
            </w:r>
            <w:r w:rsidR="0011098A">
              <w:rPr>
                <w:rFonts w:cstheme="minorHAnsi"/>
              </w:rPr>
              <w:t xml:space="preserve"> </w:t>
            </w:r>
            <w:r>
              <w:rPr>
                <w:rFonts w:cstheme="minorHAnsi"/>
              </w:rPr>
              <w:t>05</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Pr="0030066B">
              <w:rPr>
                <w:rFonts w:cstheme="minorHAnsi"/>
                <w:color w:val="EE0000"/>
              </w:rPr>
              <w:t>2</w:t>
            </w:r>
            <w:r w:rsidR="008B09A4" w:rsidRPr="0030066B">
              <w:rPr>
                <w:rFonts w:cstheme="minorHAnsi"/>
                <w:color w:val="EE0000"/>
              </w:rPr>
              <w:t>:00 p.m.</w:t>
            </w:r>
            <w:r w:rsidR="00DF2189" w:rsidRPr="0030066B">
              <w:rPr>
                <w:rFonts w:cstheme="minorHAnsi"/>
                <w:color w:val="EE0000"/>
              </w:rPr>
              <w:t xml:space="preserve"> </w:t>
            </w:r>
          </w:p>
        </w:tc>
      </w:tr>
      <w:tr w:rsidR="008B09A4" w:rsidRPr="00A21838"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472" w:type="pct"/>
          </w:tcPr>
          <w:p w14:paraId="4B0CA0E2" w14:textId="44A4DB78" w:rsidR="008B09A4" w:rsidRPr="00A21838" w:rsidRDefault="000C43DA" w:rsidP="004E2CA0">
            <w:pPr>
              <w:spacing w:after="0" w:line="240" w:lineRule="auto"/>
              <w:jc w:val="both"/>
              <w:rPr>
                <w:rFonts w:cstheme="minorHAnsi"/>
                <w:bCs/>
              </w:rPr>
            </w:pPr>
            <w:r>
              <w:rPr>
                <w:rFonts w:cstheme="minorHAnsi"/>
              </w:rPr>
              <w:t>July 28</w:t>
            </w:r>
            <w:r w:rsidR="00A21838" w:rsidRPr="00A21838">
              <w:rPr>
                <w:rFonts w:cstheme="minorHAnsi"/>
              </w:rPr>
              <w:t>, 2025</w:t>
            </w:r>
            <w:r w:rsidR="008B09A4" w:rsidRPr="00A21838">
              <w:rPr>
                <w:rFonts w:cstheme="minorHAnsi"/>
                <w:bCs/>
              </w:rPr>
              <w:t xml:space="preserve"> / Time: </w:t>
            </w:r>
            <w:r w:rsidRPr="000C43DA">
              <w:rPr>
                <w:rFonts w:cstheme="minorHAnsi"/>
                <w:bCs/>
                <w:color w:val="EE0000"/>
              </w:rPr>
              <w:t>2</w:t>
            </w:r>
            <w:r w:rsidR="008B09A4" w:rsidRPr="000C43DA">
              <w:rPr>
                <w:rFonts w:cstheme="minorHAnsi"/>
                <w:bCs/>
                <w:color w:val="EE0000"/>
              </w:rPr>
              <w:t>:00 p.m.</w:t>
            </w:r>
            <w:r w:rsidR="00DF2189" w:rsidRPr="000C43DA">
              <w:rPr>
                <w:rFonts w:cstheme="minorHAnsi"/>
                <w:bCs/>
                <w:color w:val="EE0000"/>
              </w:rPr>
              <w:t xml:space="preserve"> </w:t>
            </w:r>
          </w:p>
        </w:tc>
      </w:tr>
      <w:tr w:rsidR="008B09A4" w:rsidRPr="00A21838"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21838" w:rsidRDefault="008B09A4" w:rsidP="00BA0BB6">
            <w:pPr>
              <w:spacing w:after="0" w:line="240" w:lineRule="auto"/>
              <w:rPr>
                <w:rFonts w:cstheme="minorHAnsi"/>
                <w:b/>
                <w:bCs/>
              </w:rPr>
            </w:pPr>
            <w:r w:rsidRPr="00A21838">
              <w:rPr>
                <w:rFonts w:cstheme="minorHAnsi"/>
                <w:b/>
                <w:bCs/>
              </w:rPr>
              <w:t>Bids to be marked:</w:t>
            </w:r>
          </w:p>
        </w:tc>
        <w:tc>
          <w:tcPr>
            <w:tcW w:w="3472" w:type="pct"/>
          </w:tcPr>
          <w:p w14:paraId="569DF1B2" w14:textId="54CB2703"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0C43DA">
              <w:rPr>
                <w:rFonts w:cstheme="minorHAnsi"/>
                <w:b/>
                <w:bCs/>
              </w:rPr>
              <w:t>34</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0C43DA">
              <w:rPr>
                <w:rFonts w:cstheme="minorHAnsi"/>
                <w:b/>
              </w:rPr>
              <w:t>August 05</w:t>
            </w:r>
            <w:r w:rsidR="0011098A">
              <w:rPr>
                <w:rFonts w:cstheme="minorHAnsi"/>
                <w:b/>
              </w:rPr>
              <w:t xml:space="preserve">, </w:t>
            </w:r>
            <w:r w:rsidR="006253AA" w:rsidRPr="00A21838">
              <w:rPr>
                <w:rFonts w:cstheme="minorHAnsi"/>
                <w:b/>
              </w:rPr>
              <w:t>2025</w:t>
            </w:r>
          </w:p>
        </w:tc>
      </w:tr>
      <w:tr w:rsidR="006922FD" w:rsidRPr="00A21838" w14:paraId="5669CDFD" w14:textId="77777777" w:rsidTr="006922FD">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AC3441"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A15C1DD"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2025-034 – Revision of the Salary Scale</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405F5E52"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3 </w:t>
      </w:r>
      <w:r w:rsidR="00637D7A" w:rsidRPr="00A21838">
        <w:rPr>
          <w:rFonts w:cstheme="minorHAnsi"/>
          <w:b/>
          <w:bCs/>
          <w:i/>
          <w:iCs/>
          <w:u w:val="single"/>
          <w:lang w:val="en-US"/>
        </w:rPr>
        <w:t>: Detailed Specification</w:t>
      </w:r>
      <w:r w:rsidR="00067B1F">
        <w:rPr>
          <w:rFonts w:cstheme="minorHAnsi"/>
          <w:b/>
          <w:bCs/>
          <w:i/>
          <w:iCs/>
          <w:u w:val="single"/>
          <w:lang w:val="en-US"/>
        </w:rPr>
        <w:t xml:space="preserve"> and below Criteria Evaluation Table). </w:t>
      </w:r>
    </w:p>
    <w:p w14:paraId="6BC25564" w14:textId="2FB65C8A" w:rsidR="00660CE7" w:rsidRPr="00067B1F" w:rsidRDefault="00067B1F" w:rsidP="00067B1F">
      <w:pPr>
        <w:autoSpaceDE w:val="0"/>
        <w:autoSpaceDN w:val="0"/>
        <w:adjustRightInd w:val="0"/>
        <w:spacing w:after="0" w:line="240" w:lineRule="auto"/>
        <w:jc w:val="both"/>
        <w:rPr>
          <w:rFonts w:cstheme="minorHAnsi"/>
          <w:lang w:val="en-US"/>
        </w:rPr>
      </w:pPr>
      <w:r w:rsidRPr="00067B1F">
        <w:rPr>
          <w:rFonts w:cstheme="minorHAnsi"/>
          <w:b/>
          <w:bCs/>
          <w:i/>
          <w:iCs/>
        </w:rPr>
        <w:t xml:space="preserve">Bidders must score a </w:t>
      </w:r>
      <w:r w:rsidRPr="00067B1F">
        <w:rPr>
          <w:rFonts w:cstheme="minorHAnsi"/>
          <w:b/>
          <w:bCs/>
          <w:i/>
          <w:iCs/>
          <w:u w:val="single"/>
        </w:rPr>
        <w:t>minimum of 75%</w:t>
      </w:r>
      <w:r w:rsidRPr="00067B1F">
        <w:rPr>
          <w:rFonts w:cstheme="minorHAnsi"/>
          <w:b/>
          <w:bCs/>
          <w:i/>
          <w:iCs/>
        </w:rPr>
        <w:t xml:space="preserve"> in the Technical Evaluation in order to be considered for the Financial Evaluation phase.</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40"/>
        <w:gridCol w:w="987"/>
        <w:gridCol w:w="1803"/>
        <w:gridCol w:w="4590"/>
      </w:tblGrid>
      <w:tr w:rsidR="00DE1E7B" w:rsidRPr="00DE1E7B" w14:paraId="6A1E8BB7" w14:textId="77777777" w:rsidTr="00DE1E7B">
        <w:trPr>
          <w:trHeight w:val="870"/>
        </w:trPr>
        <w:tc>
          <w:tcPr>
            <w:tcW w:w="1260" w:type="dxa"/>
            <w:shd w:val="clear" w:color="auto" w:fill="auto"/>
            <w:vAlign w:val="center"/>
            <w:hideMark/>
          </w:tcPr>
          <w:p w14:paraId="7FFDCDD4"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Criteria</w:t>
            </w:r>
          </w:p>
        </w:tc>
        <w:tc>
          <w:tcPr>
            <w:tcW w:w="2340" w:type="dxa"/>
            <w:shd w:val="clear" w:color="auto" w:fill="auto"/>
            <w:vAlign w:val="center"/>
            <w:hideMark/>
          </w:tcPr>
          <w:p w14:paraId="46CE3321"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Description</w:t>
            </w:r>
          </w:p>
        </w:tc>
        <w:tc>
          <w:tcPr>
            <w:tcW w:w="987" w:type="dxa"/>
            <w:shd w:val="clear" w:color="auto" w:fill="auto"/>
            <w:vAlign w:val="center"/>
            <w:hideMark/>
          </w:tcPr>
          <w:p w14:paraId="74C866E4"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Weight (%)</w:t>
            </w:r>
          </w:p>
        </w:tc>
        <w:tc>
          <w:tcPr>
            <w:tcW w:w="1803" w:type="dxa"/>
            <w:shd w:val="clear" w:color="auto" w:fill="auto"/>
            <w:vAlign w:val="center"/>
            <w:hideMark/>
          </w:tcPr>
          <w:p w14:paraId="47203EBA"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What the Supplier Must Provide</w:t>
            </w:r>
          </w:p>
        </w:tc>
        <w:tc>
          <w:tcPr>
            <w:tcW w:w="4590" w:type="dxa"/>
            <w:shd w:val="clear" w:color="auto" w:fill="auto"/>
            <w:vAlign w:val="center"/>
            <w:hideMark/>
          </w:tcPr>
          <w:p w14:paraId="3B132FD3" w14:textId="58E1BC1F"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 xml:space="preserve">Yes / No </w:t>
            </w:r>
            <w:r w:rsidR="00067B1F" w:rsidRPr="00DE1E7B">
              <w:rPr>
                <w:rFonts w:eastAsia="Times New Roman" w:cstheme="minorHAnsi"/>
                <w:b/>
                <w:bCs/>
                <w:color w:val="000000"/>
                <w:sz w:val="18"/>
                <w:szCs w:val="18"/>
                <w:lang w:val="en-US"/>
              </w:rPr>
              <w:t>(to</w:t>
            </w:r>
            <w:r w:rsidRPr="00DE1E7B">
              <w:rPr>
                <w:rFonts w:eastAsia="Times New Roman" w:cstheme="minorHAnsi"/>
                <w:b/>
                <w:bCs/>
                <w:color w:val="000000"/>
                <w:sz w:val="18"/>
                <w:szCs w:val="18"/>
                <w:lang w:val="en-US"/>
              </w:rPr>
              <w:t xml:space="preserve"> be completed by the supplier)</w:t>
            </w:r>
          </w:p>
        </w:tc>
      </w:tr>
      <w:tr w:rsidR="00DE1E7B" w:rsidRPr="00DE1E7B" w14:paraId="49AC8783" w14:textId="77777777" w:rsidTr="00DE1E7B">
        <w:trPr>
          <w:trHeight w:val="1740"/>
        </w:trPr>
        <w:tc>
          <w:tcPr>
            <w:tcW w:w="1260" w:type="dxa"/>
            <w:shd w:val="clear" w:color="auto" w:fill="auto"/>
            <w:vAlign w:val="center"/>
            <w:hideMark/>
          </w:tcPr>
          <w:p w14:paraId="30E2D20F"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Methodology and Approach</w:t>
            </w:r>
          </w:p>
        </w:tc>
        <w:tc>
          <w:tcPr>
            <w:tcW w:w="2340" w:type="dxa"/>
            <w:shd w:val="clear" w:color="auto" w:fill="auto"/>
            <w:vAlign w:val="center"/>
            <w:hideMark/>
          </w:tcPr>
          <w:p w14:paraId="08A1567B"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Quality and feasibility of the proposed methodology for benchmarking, salary scale revision, tool development, and training. Includes ethical handling of data.</w:t>
            </w:r>
          </w:p>
        </w:tc>
        <w:tc>
          <w:tcPr>
            <w:tcW w:w="987" w:type="dxa"/>
            <w:shd w:val="clear" w:color="auto" w:fill="auto"/>
            <w:vAlign w:val="center"/>
            <w:hideMark/>
          </w:tcPr>
          <w:p w14:paraId="200668AD"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25%</w:t>
            </w:r>
          </w:p>
        </w:tc>
        <w:tc>
          <w:tcPr>
            <w:tcW w:w="1803" w:type="dxa"/>
            <w:shd w:val="clear" w:color="auto" w:fill="auto"/>
            <w:vAlign w:val="center"/>
            <w:hideMark/>
          </w:tcPr>
          <w:p w14:paraId="30EA6960"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Detailed technical methodology, ethical considerations, approach for salary scale revision and training</w:t>
            </w:r>
          </w:p>
        </w:tc>
        <w:tc>
          <w:tcPr>
            <w:tcW w:w="4590" w:type="dxa"/>
            <w:shd w:val="clear" w:color="auto" w:fill="auto"/>
            <w:noWrap/>
            <w:vAlign w:val="bottom"/>
            <w:hideMark/>
          </w:tcPr>
          <w:p w14:paraId="2BD94804"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r w:rsidR="00DE1E7B" w:rsidRPr="00DE1E7B" w14:paraId="6FFE7319" w14:textId="77777777" w:rsidTr="00DE1E7B">
        <w:trPr>
          <w:trHeight w:val="2030"/>
        </w:trPr>
        <w:tc>
          <w:tcPr>
            <w:tcW w:w="1260" w:type="dxa"/>
            <w:shd w:val="clear" w:color="auto" w:fill="auto"/>
            <w:vAlign w:val="center"/>
            <w:hideMark/>
          </w:tcPr>
          <w:p w14:paraId="7AD7800F"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Relevant Experience</w:t>
            </w:r>
          </w:p>
        </w:tc>
        <w:tc>
          <w:tcPr>
            <w:tcW w:w="2340" w:type="dxa"/>
            <w:shd w:val="clear" w:color="auto" w:fill="auto"/>
            <w:vAlign w:val="center"/>
            <w:hideMark/>
          </w:tcPr>
          <w:p w14:paraId="3858A6A0"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Proven track record in similar assignments, especially in the humanitarian or non-profit sector. Includes experience in compensation strategy, benchmarking, and HR systems.</w:t>
            </w:r>
          </w:p>
        </w:tc>
        <w:tc>
          <w:tcPr>
            <w:tcW w:w="987" w:type="dxa"/>
            <w:shd w:val="clear" w:color="auto" w:fill="auto"/>
            <w:vAlign w:val="center"/>
            <w:hideMark/>
          </w:tcPr>
          <w:p w14:paraId="79BF0A62"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20%</w:t>
            </w:r>
          </w:p>
        </w:tc>
        <w:tc>
          <w:tcPr>
            <w:tcW w:w="1803" w:type="dxa"/>
            <w:shd w:val="clear" w:color="auto" w:fill="auto"/>
            <w:vAlign w:val="center"/>
            <w:hideMark/>
          </w:tcPr>
          <w:p w14:paraId="30FE3808"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Company portfolio, examples of previous assignments, client references, contact information</w:t>
            </w:r>
          </w:p>
        </w:tc>
        <w:tc>
          <w:tcPr>
            <w:tcW w:w="4590" w:type="dxa"/>
            <w:shd w:val="clear" w:color="auto" w:fill="auto"/>
            <w:noWrap/>
            <w:vAlign w:val="bottom"/>
            <w:hideMark/>
          </w:tcPr>
          <w:p w14:paraId="23B84A13"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r w:rsidR="00DE1E7B" w:rsidRPr="00DE1E7B" w14:paraId="08A0FB6E" w14:textId="77777777" w:rsidTr="00DE1E7B">
        <w:trPr>
          <w:trHeight w:val="1450"/>
        </w:trPr>
        <w:tc>
          <w:tcPr>
            <w:tcW w:w="1260" w:type="dxa"/>
            <w:shd w:val="clear" w:color="auto" w:fill="auto"/>
            <w:vAlign w:val="center"/>
            <w:hideMark/>
          </w:tcPr>
          <w:p w14:paraId="0F9268C4"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Team Qualifications</w:t>
            </w:r>
          </w:p>
        </w:tc>
        <w:tc>
          <w:tcPr>
            <w:tcW w:w="2340" w:type="dxa"/>
            <w:shd w:val="clear" w:color="auto" w:fill="auto"/>
            <w:vAlign w:val="center"/>
            <w:hideMark/>
          </w:tcPr>
          <w:p w14:paraId="7EC9E338"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Expertise and qualifications of the proposed team members, particularly in HR consultancy, compensation design, and training delivery.</w:t>
            </w:r>
          </w:p>
        </w:tc>
        <w:tc>
          <w:tcPr>
            <w:tcW w:w="987" w:type="dxa"/>
            <w:shd w:val="clear" w:color="auto" w:fill="auto"/>
            <w:vAlign w:val="center"/>
            <w:hideMark/>
          </w:tcPr>
          <w:p w14:paraId="11F0DD08"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15%</w:t>
            </w:r>
          </w:p>
        </w:tc>
        <w:tc>
          <w:tcPr>
            <w:tcW w:w="1803" w:type="dxa"/>
            <w:shd w:val="clear" w:color="auto" w:fill="auto"/>
            <w:vAlign w:val="center"/>
            <w:hideMark/>
          </w:tcPr>
          <w:p w14:paraId="605C281D"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CVs of team members, roles/responsibilities, proof of relevant certifications or experience</w:t>
            </w:r>
          </w:p>
        </w:tc>
        <w:tc>
          <w:tcPr>
            <w:tcW w:w="4590" w:type="dxa"/>
            <w:shd w:val="clear" w:color="auto" w:fill="auto"/>
            <w:noWrap/>
            <w:vAlign w:val="bottom"/>
            <w:hideMark/>
          </w:tcPr>
          <w:p w14:paraId="4A7BC0D1"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r w:rsidR="00DE1E7B" w:rsidRPr="00DE1E7B" w14:paraId="45B12D6A" w14:textId="77777777" w:rsidTr="00DE1E7B">
        <w:trPr>
          <w:trHeight w:val="1740"/>
        </w:trPr>
        <w:tc>
          <w:tcPr>
            <w:tcW w:w="1260" w:type="dxa"/>
            <w:shd w:val="clear" w:color="auto" w:fill="auto"/>
            <w:vAlign w:val="center"/>
            <w:hideMark/>
          </w:tcPr>
          <w:p w14:paraId="22DA54D9"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Tools and Deliverables</w:t>
            </w:r>
          </w:p>
        </w:tc>
        <w:tc>
          <w:tcPr>
            <w:tcW w:w="2340" w:type="dxa"/>
            <w:shd w:val="clear" w:color="auto" w:fill="auto"/>
            <w:vAlign w:val="center"/>
            <w:hideMark/>
          </w:tcPr>
          <w:p w14:paraId="2CF5D0EA"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Quality and usability of proposed tools (e.g., Excel-based salary scale management tool), and clarity of deliverables (e.g., training materials, documentation).</w:t>
            </w:r>
          </w:p>
        </w:tc>
        <w:tc>
          <w:tcPr>
            <w:tcW w:w="987" w:type="dxa"/>
            <w:shd w:val="clear" w:color="auto" w:fill="auto"/>
            <w:vAlign w:val="center"/>
            <w:hideMark/>
          </w:tcPr>
          <w:p w14:paraId="0E6079D6"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15%</w:t>
            </w:r>
          </w:p>
        </w:tc>
        <w:tc>
          <w:tcPr>
            <w:tcW w:w="1803" w:type="dxa"/>
            <w:shd w:val="clear" w:color="auto" w:fill="auto"/>
            <w:vAlign w:val="center"/>
            <w:hideMark/>
          </w:tcPr>
          <w:p w14:paraId="262EC8E8"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Samples or descriptions of proposed tools, structure of deliverables, screenshots or templates (if available)</w:t>
            </w:r>
          </w:p>
        </w:tc>
        <w:tc>
          <w:tcPr>
            <w:tcW w:w="4590" w:type="dxa"/>
            <w:shd w:val="clear" w:color="auto" w:fill="auto"/>
            <w:noWrap/>
            <w:vAlign w:val="bottom"/>
            <w:hideMark/>
          </w:tcPr>
          <w:p w14:paraId="6BDE2EAA"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r w:rsidR="00DE1E7B" w:rsidRPr="00DE1E7B" w14:paraId="2348AF4D" w14:textId="77777777" w:rsidTr="00DE1E7B">
        <w:trPr>
          <w:trHeight w:val="1160"/>
        </w:trPr>
        <w:tc>
          <w:tcPr>
            <w:tcW w:w="1260" w:type="dxa"/>
            <w:shd w:val="clear" w:color="auto" w:fill="auto"/>
            <w:vAlign w:val="center"/>
            <w:hideMark/>
          </w:tcPr>
          <w:p w14:paraId="39280683"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Work Plan and Timeline</w:t>
            </w:r>
          </w:p>
        </w:tc>
        <w:tc>
          <w:tcPr>
            <w:tcW w:w="2340" w:type="dxa"/>
            <w:shd w:val="clear" w:color="auto" w:fill="auto"/>
            <w:vAlign w:val="center"/>
            <w:hideMark/>
          </w:tcPr>
          <w:p w14:paraId="4F8EA29C"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Clarity of the proposed work plan, including milestones and ability to meet the 9-week timeline.</w:t>
            </w:r>
          </w:p>
        </w:tc>
        <w:tc>
          <w:tcPr>
            <w:tcW w:w="987" w:type="dxa"/>
            <w:shd w:val="clear" w:color="auto" w:fill="auto"/>
            <w:vAlign w:val="center"/>
            <w:hideMark/>
          </w:tcPr>
          <w:p w14:paraId="7BF82630"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10%</w:t>
            </w:r>
          </w:p>
        </w:tc>
        <w:tc>
          <w:tcPr>
            <w:tcW w:w="1803" w:type="dxa"/>
            <w:shd w:val="clear" w:color="auto" w:fill="auto"/>
            <w:vAlign w:val="center"/>
            <w:hideMark/>
          </w:tcPr>
          <w:p w14:paraId="79DDF84B"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Gantt chart or activity schedule, timeline showing key deliverables and responsible persons</w:t>
            </w:r>
          </w:p>
        </w:tc>
        <w:tc>
          <w:tcPr>
            <w:tcW w:w="4590" w:type="dxa"/>
            <w:shd w:val="clear" w:color="auto" w:fill="auto"/>
            <w:noWrap/>
            <w:vAlign w:val="bottom"/>
            <w:hideMark/>
          </w:tcPr>
          <w:p w14:paraId="538B54FF"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r w:rsidR="00DE1E7B" w:rsidRPr="00DE1E7B" w14:paraId="5880DE54" w14:textId="77777777" w:rsidTr="00DE1E7B">
        <w:trPr>
          <w:trHeight w:val="1160"/>
        </w:trPr>
        <w:tc>
          <w:tcPr>
            <w:tcW w:w="1260" w:type="dxa"/>
            <w:shd w:val="clear" w:color="auto" w:fill="auto"/>
            <w:vAlign w:val="center"/>
            <w:hideMark/>
          </w:tcPr>
          <w:p w14:paraId="3679EFB2" w14:textId="77777777" w:rsidR="00DE1E7B" w:rsidRPr="00DE1E7B" w:rsidRDefault="00DE1E7B" w:rsidP="00DE1E7B">
            <w:pPr>
              <w:spacing w:after="0" w:line="240" w:lineRule="auto"/>
              <w:jc w:val="center"/>
              <w:rPr>
                <w:rFonts w:eastAsia="Times New Roman" w:cstheme="minorHAnsi"/>
                <w:b/>
                <w:bCs/>
                <w:color w:val="000000"/>
                <w:sz w:val="18"/>
                <w:szCs w:val="18"/>
                <w:lang w:val="en-US"/>
              </w:rPr>
            </w:pPr>
            <w:r w:rsidRPr="00DE1E7B">
              <w:rPr>
                <w:rFonts w:eastAsia="Times New Roman" w:cstheme="minorHAnsi"/>
                <w:b/>
                <w:bCs/>
                <w:color w:val="000000"/>
                <w:sz w:val="18"/>
                <w:szCs w:val="18"/>
                <w:lang w:val="en-US"/>
              </w:rPr>
              <w:t>Price</w:t>
            </w:r>
          </w:p>
        </w:tc>
        <w:tc>
          <w:tcPr>
            <w:tcW w:w="2340" w:type="dxa"/>
            <w:shd w:val="clear" w:color="auto" w:fill="auto"/>
            <w:vAlign w:val="center"/>
            <w:hideMark/>
          </w:tcPr>
          <w:p w14:paraId="7EED4784"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Competitiveness and clarity of the financial proposal. Must align with the scope and deliverables.</w:t>
            </w:r>
          </w:p>
        </w:tc>
        <w:tc>
          <w:tcPr>
            <w:tcW w:w="987" w:type="dxa"/>
            <w:shd w:val="clear" w:color="auto" w:fill="auto"/>
            <w:vAlign w:val="center"/>
            <w:hideMark/>
          </w:tcPr>
          <w:p w14:paraId="237FCA8D"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15%</w:t>
            </w:r>
          </w:p>
        </w:tc>
        <w:tc>
          <w:tcPr>
            <w:tcW w:w="1803" w:type="dxa"/>
            <w:shd w:val="clear" w:color="auto" w:fill="auto"/>
            <w:vAlign w:val="center"/>
            <w:hideMark/>
          </w:tcPr>
          <w:p w14:paraId="788A5245"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Completed financial proposal form, lump sum pricing (with and without VAT), optional cost breakdown</w:t>
            </w:r>
          </w:p>
        </w:tc>
        <w:tc>
          <w:tcPr>
            <w:tcW w:w="4590" w:type="dxa"/>
            <w:shd w:val="clear" w:color="auto" w:fill="auto"/>
            <w:noWrap/>
            <w:vAlign w:val="bottom"/>
            <w:hideMark/>
          </w:tcPr>
          <w:p w14:paraId="6D83131B" w14:textId="77777777" w:rsidR="00DE1E7B" w:rsidRPr="00DE1E7B" w:rsidRDefault="00DE1E7B" w:rsidP="00DE1E7B">
            <w:pPr>
              <w:spacing w:after="0" w:line="240" w:lineRule="auto"/>
              <w:jc w:val="center"/>
              <w:rPr>
                <w:rFonts w:eastAsia="Times New Roman" w:cstheme="minorHAnsi"/>
                <w:color w:val="000000"/>
                <w:sz w:val="18"/>
                <w:szCs w:val="18"/>
                <w:lang w:val="en-US"/>
              </w:rPr>
            </w:pPr>
            <w:r w:rsidRPr="00DE1E7B">
              <w:rPr>
                <w:rFonts w:eastAsia="Times New Roman" w:cstheme="minorHAnsi"/>
                <w:color w:val="000000"/>
                <w:sz w:val="18"/>
                <w:szCs w:val="18"/>
                <w:lang w:val="en-US"/>
              </w:rPr>
              <w:t> </w:t>
            </w:r>
          </w:p>
        </w:tc>
      </w:tr>
    </w:tbl>
    <w:p w14:paraId="74DBB4DE" w14:textId="77777777" w:rsidR="00DE1E7B" w:rsidRPr="00A21838" w:rsidRDefault="00DE1E7B"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07CA89C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ITB-2025-02</w:t>
            </w:r>
            <w:r w:rsidR="006510F6">
              <w:rPr>
                <w:rFonts w:cstheme="minorHAnsi"/>
              </w:rPr>
              <w:t>7</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01F7DB03"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r w:rsidR="00AC3441">
              <w:rPr>
                <w:rFonts w:cstheme="minorHAnsi"/>
                <w:lang w:bidi="ar-LB"/>
              </w:rPr>
              <w:t xml:space="preserve"> &amp; </w:t>
            </w:r>
            <w:r w:rsidR="00AC3441" w:rsidRPr="00A21838">
              <w:rPr>
                <w:rFonts w:cstheme="minorHAnsi"/>
                <w:lang w:bidi="ar-LB"/>
              </w:rPr>
              <w:t>Due Diligence Check</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292CEDAF" w:rsidR="0066687B" w:rsidRPr="00A21838" w:rsidRDefault="00AC3441" w:rsidP="008B226B">
            <w:pPr>
              <w:autoSpaceDE w:val="0"/>
              <w:autoSpaceDN w:val="0"/>
              <w:adjustRightInd w:val="0"/>
              <w:spacing w:after="0" w:line="240" w:lineRule="auto"/>
              <w:rPr>
                <w:rFonts w:cstheme="minorHAnsi"/>
                <w:lang w:bidi="ar-LB"/>
              </w:rPr>
            </w:pPr>
            <w:r>
              <w:rPr>
                <w:rFonts w:cstheme="minorHAnsi"/>
                <w:lang w:bidi="ar-LB"/>
              </w:rPr>
              <w:t xml:space="preserve">AFD Integrity  </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6049E70B"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3D510D"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2EA5BAEE" w:rsidR="003D510D" w:rsidRPr="00A21838" w:rsidRDefault="00141A4E" w:rsidP="00357A26">
            <w:pPr>
              <w:keepNext/>
              <w:keepLines/>
              <w:spacing w:after="0" w:line="240" w:lineRule="auto"/>
              <w:jc w:val="both"/>
              <w:rPr>
                <w:rFonts w:cstheme="minorHAnsi"/>
                <w:b/>
              </w:rPr>
            </w:pPr>
            <w:r>
              <w:rPr>
                <w:rFonts w:cstheme="minorHAnsi"/>
              </w:rPr>
              <w:t>15 July</w:t>
            </w:r>
            <w:r w:rsidR="0011098A">
              <w:rPr>
                <w:rFonts w:cstheme="minorHAnsi"/>
              </w:rPr>
              <w: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6F4A821A" w:rsidR="003D510D" w:rsidRPr="00A21838" w:rsidRDefault="00141A4E" w:rsidP="00357A26">
            <w:pPr>
              <w:keepNext/>
              <w:keepLines/>
              <w:spacing w:after="0" w:line="240" w:lineRule="auto"/>
              <w:rPr>
                <w:rFonts w:cstheme="minorHAnsi"/>
              </w:rPr>
            </w:pPr>
            <w:r>
              <w:rPr>
                <w:rFonts w:cstheme="minorHAnsi"/>
              </w:rPr>
              <w:t>05 August</w:t>
            </w:r>
            <w:r w:rsidR="003D510D" w:rsidRPr="00A21838">
              <w:rPr>
                <w:rFonts w:cstheme="minorHAnsi"/>
              </w:rPr>
              <w:t xml:space="preserve"> 2025 / Time:</w:t>
            </w:r>
            <w:r w:rsidRPr="00141A4E">
              <w:rPr>
                <w:rFonts w:cstheme="minorHAnsi"/>
                <w:color w:val="EE0000"/>
              </w:rPr>
              <w:t>2</w:t>
            </w:r>
            <w:r w:rsidR="003D510D" w:rsidRPr="00141A4E">
              <w:rPr>
                <w:rFonts w:cstheme="minorHAnsi"/>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77500238" w:rsidR="003D510D" w:rsidRPr="00A21838" w:rsidRDefault="00141A4E" w:rsidP="00357A26">
            <w:pPr>
              <w:keepNext/>
              <w:keepLines/>
              <w:spacing w:after="0" w:line="240" w:lineRule="auto"/>
              <w:jc w:val="both"/>
              <w:rPr>
                <w:rFonts w:cstheme="minorHAnsi"/>
              </w:rPr>
            </w:pPr>
            <w:r>
              <w:rPr>
                <w:rFonts w:cstheme="minorHAnsi"/>
              </w:rPr>
              <w:t>28 July</w:t>
            </w:r>
            <w:r w:rsidR="003D510D" w:rsidRPr="00A21838">
              <w:rPr>
                <w:rFonts w:cstheme="minorHAnsi"/>
              </w:rPr>
              <w:t xml:space="preserve"> 2025 / Time: </w:t>
            </w:r>
            <w:r>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5053FE84"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w:t>
            </w:r>
            <w:r w:rsidR="00141A4E">
              <w:rPr>
                <w:rFonts w:cstheme="minorHAnsi"/>
                <w:b/>
                <w:bCs/>
                <w:i/>
                <w:iCs/>
                <w:color w:val="FF0000"/>
                <w:highlight w:val="yellow"/>
              </w:rPr>
              <w:t>34</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141A4E">
              <w:rPr>
                <w:rFonts w:cstheme="minorHAnsi"/>
                <w:b/>
                <w:bCs/>
                <w:i/>
                <w:iCs/>
                <w:color w:val="FF0000"/>
                <w:highlight w:val="yellow"/>
              </w:rPr>
              <w:t>August 05</w:t>
            </w:r>
            <w:r w:rsidR="00793DAF">
              <w:rPr>
                <w:rFonts w:cstheme="minorHAnsi"/>
                <w:b/>
                <w:bCs/>
                <w:i/>
                <w:iCs/>
                <w:color w:val="FF0000"/>
                <w:highlight w:val="yellow"/>
              </w:rPr>
              <w:t>,</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2E219623"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D767ED" w:rsidRPr="00A21838">
        <w:rPr>
          <w:rFonts w:cstheme="minorHAnsi"/>
          <w:b/>
          <w:i/>
          <w:iCs/>
        </w:rPr>
        <w:t>2</w:t>
      </w:r>
      <w:r w:rsidR="0011098A">
        <w:rPr>
          <w:rFonts w:cstheme="minorHAnsi"/>
          <w:b/>
          <w:i/>
          <w:iCs/>
        </w:rPr>
        <w:t>9</w:t>
      </w:r>
      <w:r w:rsidR="003A5428" w:rsidRPr="00A21838">
        <w:rPr>
          <w:rFonts w:cstheme="minorHAnsi"/>
          <w:b/>
          <w:i/>
          <w:iCs/>
        </w:rPr>
        <w:t>. Do not open b</w:t>
      </w:r>
      <w:r w:rsidR="008A5F7A" w:rsidRPr="00A21838">
        <w:rPr>
          <w:rFonts w:cstheme="minorHAnsi"/>
          <w:b/>
          <w:i/>
          <w:iCs/>
        </w:rPr>
        <w:t xml:space="preserve">efore </w:t>
      </w:r>
      <w:r w:rsidR="00793DAF">
        <w:rPr>
          <w:rFonts w:cstheme="minorHAnsi"/>
          <w:b/>
          <w:i/>
          <w:iCs/>
        </w:rPr>
        <w:t xml:space="preserve">July </w:t>
      </w:r>
      <w:r w:rsidR="0011098A">
        <w:rPr>
          <w:rFonts w:cstheme="minorHAnsi"/>
          <w:b/>
          <w:i/>
          <w:iCs/>
        </w:rPr>
        <w:t>11</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lastRenderedPageBreak/>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lastRenderedPageBreak/>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lastRenderedPageBreak/>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lastRenderedPageBreak/>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Pr="00A21838"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59DE841A" w14:textId="668D1FEB" w:rsidR="00793DAF" w:rsidRPr="00141A4E" w:rsidRDefault="000D73AF" w:rsidP="00E927FD">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 xml:space="preserve">The unit price must be provided with no more than </w:t>
      </w:r>
      <w:r w:rsidRPr="00141A4E">
        <w:rPr>
          <w:rFonts w:cstheme="minorHAnsi"/>
          <w:i/>
          <w:iCs/>
          <w:color w:val="C00000"/>
          <w:u w:val="single"/>
        </w:rPr>
        <w:t>two decimal places.</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The bidder is not permitted to alter the section labeled “LRC to complete” below</w:t>
      </w:r>
    </w:p>
    <w:tbl>
      <w:tblPr>
        <w:tblW w:w="14521" w:type="dxa"/>
        <w:tblLook w:val="04A0" w:firstRow="1" w:lastRow="0" w:firstColumn="1" w:lastColumn="0" w:noHBand="0" w:noVBand="1"/>
      </w:tblPr>
      <w:tblGrid>
        <w:gridCol w:w="612"/>
        <w:gridCol w:w="3474"/>
        <w:gridCol w:w="1150"/>
        <w:gridCol w:w="1337"/>
        <w:gridCol w:w="3712"/>
        <w:gridCol w:w="893"/>
        <w:gridCol w:w="3343"/>
      </w:tblGrid>
      <w:tr w:rsidR="00DE1E7B" w:rsidRPr="00C2365E" w14:paraId="537DF2AD" w14:textId="77777777" w:rsidTr="00DE1E7B">
        <w:trPr>
          <w:trHeight w:val="319"/>
        </w:trPr>
        <w:tc>
          <w:tcPr>
            <w:tcW w:w="0" w:type="auto"/>
            <w:gridSpan w:val="4"/>
            <w:tcBorders>
              <w:top w:val="single" w:sz="8" w:space="0" w:color="auto"/>
              <w:left w:val="single" w:sz="8" w:space="0" w:color="auto"/>
              <w:bottom w:val="single" w:sz="8" w:space="0" w:color="auto"/>
              <w:right w:val="nil"/>
            </w:tcBorders>
            <w:shd w:val="clear" w:color="000000" w:fill="F2F2F2"/>
            <w:vAlign w:val="center"/>
            <w:hideMark/>
          </w:tcPr>
          <w:p w14:paraId="36744634"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LRC TO COMPLETE</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5B608D7"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 xml:space="preserve">BIDDER TO COMPLETE </w:t>
            </w:r>
            <w:r w:rsidRPr="00C2365E">
              <w:rPr>
                <w:rFonts w:ascii="Calibri" w:eastAsia="Times New Roman" w:hAnsi="Calibri" w:cs="Calibri"/>
                <w:b/>
                <w:bCs/>
                <w:i/>
                <w:iCs/>
                <w:color w:val="000000"/>
                <w:sz w:val="18"/>
                <w:szCs w:val="18"/>
                <w:lang w:val="en-US"/>
              </w:rPr>
              <w:t>(MANDATORY TO FILL ALL THE REQUIRED DETAILED)</w:t>
            </w:r>
          </w:p>
        </w:tc>
      </w:tr>
      <w:tr w:rsidR="00DE1E7B" w:rsidRPr="00C2365E" w14:paraId="39B0B3A3" w14:textId="77777777" w:rsidTr="00DE1E7B">
        <w:trPr>
          <w:trHeight w:val="906"/>
        </w:trPr>
        <w:tc>
          <w:tcPr>
            <w:tcW w:w="0" w:type="auto"/>
            <w:tcBorders>
              <w:top w:val="nil"/>
              <w:left w:val="single" w:sz="8" w:space="0" w:color="auto"/>
              <w:bottom w:val="single" w:sz="8" w:space="0" w:color="auto"/>
              <w:right w:val="single" w:sz="8" w:space="0" w:color="auto"/>
            </w:tcBorders>
            <w:shd w:val="clear" w:color="000000" w:fill="F2F2F2"/>
            <w:vAlign w:val="center"/>
            <w:hideMark/>
          </w:tcPr>
          <w:p w14:paraId="21D3B722"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 #</w:t>
            </w:r>
          </w:p>
        </w:tc>
        <w:tc>
          <w:tcPr>
            <w:tcW w:w="0" w:type="auto"/>
            <w:tcBorders>
              <w:top w:val="nil"/>
              <w:left w:val="nil"/>
              <w:bottom w:val="single" w:sz="8" w:space="0" w:color="auto"/>
              <w:right w:val="single" w:sz="8" w:space="0" w:color="auto"/>
            </w:tcBorders>
            <w:shd w:val="clear" w:color="000000" w:fill="F2F2F2"/>
            <w:vAlign w:val="center"/>
            <w:hideMark/>
          </w:tcPr>
          <w:p w14:paraId="5225567D" w14:textId="77777777" w:rsidR="00C2365E" w:rsidRPr="00C2365E" w:rsidRDefault="00C2365E" w:rsidP="00C2365E">
            <w:pPr>
              <w:spacing w:after="0" w:line="240" w:lineRule="auto"/>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ITEM/MILESTONE REQUIRED</w:t>
            </w:r>
          </w:p>
        </w:tc>
        <w:tc>
          <w:tcPr>
            <w:tcW w:w="0" w:type="auto"/>
            <w:tcBorders>
              <w:top w:val="nil"/>
              <w:left w:val="nil"/>
              <w:bottom w:val="single" w:sz="8" w:space="0" w:color="auto"/>
              <w:right w:val="single" w:sz="8" w:space="0" w:color="auto"/>
            </w:tcBorders>
            <w:shd w:val="clear" w:color="000000" w:fill="F2F2F2"/>
            <w:vAlign w:val="center"/>
            <w:hideMark/>
          </w:tcPr>
          <w:p w14:paraId="7D73C9A8"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UOM (Lumpsum)</w:t>
            </w:r>
          </w:p>
        </w:tc>
        <w:tc>
          <w:tcPr>
            <w:tcW w:w="0" w:type="auto"/>
            <w:tcBorders>
              <w:top w:val="nil"/>
              <w:left w:val="nil"/>
              <w:bottom w:val="single" w:sz="8" w:space="0" w:color="auto"/>
              <w:right w:val="single" w:sz="8" w:space="0" w:color="auto"/>
            </w:tcBorders>
            <w:shd w:val="clear" w:color="000000" w:fill="F2F2F2"/>
            <w:vAlign w:val="center"/>
            <w:hideMark/>
          </w:tcPr>
          <w:p w14:paraId="5E0C2079"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ESTIMATED QUANTITY</w:t>
            </w:r>
          </w:p>
        </w:tc>
        <w:tc>
          <w:tcPr>
            <w:tcW w:w="0" w:type="auto"/>
            <w:tcBorders>
              <w:top w:val="nil"/>
              <w:left w:val="nil"/>
              <w:bottom w:val="single" w:sz="8" w:space="0" w:color="auto"/>
              <w:right w:val="single" w:sz="8" w:space="0" w:color="auto"/>
            </w:tcBorders>
            <w:shd w:val="clear" w:color="000000" w:fill="F2F2F2"/>
            <w:vAlign w:val="center"/>
            <w:hideMark/>
          </w:tcPr>
          <w:p w14:paraId="1246B84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Total Price including Labor, Delivery, tools, transportation and all other fees, but exclusive VAT</w:t>
            </w:r>
          </w:p>
        </w:tc>
        <w:tc>
          <w:tcPr>
            <w:tcW w:w="0" w:type="auto"/>
            <w:tcBorders>
              <w:top w:val="nil"/>
              <w:left w:val="nil"/>
              <w:bottom w:val="single" w:sz="8" w:space="0" w:color="auto"/>
              <w:right w:val="single" w:sz="8" w:space="0" w:color="auto"/>
            </w:tcBorders>
            <w:shd w:val="clear" w:color="000000" w:fill="F2F2F2"/>
            <w:vAlign w:val="center"/>
            <w:hideMark/>
          </w:tcPr>
          <w:p w14:paraId="3E1801A3"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VAT 11% (USD)</w:t>
            </w:r>
          </w:p>
        </w:tc>
        <w:tc>
          <w:tcPr>
            <w:tcW w:w="0" w:type="auto"/>
            <w:tcBorders>
              <w:top w:val="nil"/>
              <w:left w:val="nil"/>
              <w:bottom w:val="single" w:sz="8" w:space="0" w:color="auto"/>
              <w:right w:val="single" w:sz="8" w:space="0" w:color="auto"/>
            </w:tcBorders>
            <w:shd w:val="clear" w:color="000000" w:fill="F2F2F2"/>
            <w:vAlign w:val="center"/>
            <w:hideMark/>
          </w:tcPr>
          <w:p w14:paraId="3A03AA80"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xml:space="preserve">Total Price including Labor, Delivery, tools, transportation, VAT, and all other fees, </w:t>
            </w:r>
          </w:p>
        </w:tc>
      </w:tr>
      <w:tr w:rsidR="00DE1E7B" w:rsidRPr="00C2365E" w14:paraId="6C3E7065" w14:textId="77777777" w:rsidTr="00DE1E7B">
        <w:trPr>
          <w:trHeight w:val="117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E8447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1.1</w:t>
            </w:r>
          </w:p>
        </w:tc>
        <w:tc>
          <w:tcPr>
            <w:tcW w:w="0" w:type="auto"/>
            <w:tcBorders>
              <w:top w:val="nil"/>
              <w:left w:val="nil"/>
              <w:bottom w:val="single" w:sz="8" w:space="0" w:color="auto"/>
              <w:right w:val="single" w:sz="8" w:space="0" w:color="auto"/>
            </w:tcBorders>
            <w:shd w:val="clear" w:color="auto" w:fill="auto"/>
            <w:noWrap/>
            <w:vAlign w:val="center"/>
            <w:hideMark/>
          </w:tcPr>
          <w:p w14:paraId="2E2BF010" w14:textId="77777777" w:rsidR="00DE1E7B" w:rsidRDefault="00C2365E" w:rsidP="00C2365E">
            <w:pPr>
              <w:spacing w:after="0" w:line="240" w:lineRule="auto"/>
              <w:rPr>
                <w:rFonts w:ascii="Calibri" w:eastAsia="Times New Roman" w:hAnsi="Calibri" w:cs="Calibri"/>
                <w:b/>
                <w:bCs/>
                <w:color w:val="000000"/>
                <w:sz w:val="16"/>
                <w:szCs w:val="16"/>
              </w:rPr>
            </w:pPr>
            <w:r w:rsidRPr="00C2365E">
              <w:rPr>
                <w:rFonts w:ascii="Calibri" w:eastAsia="Times New Roman" w:hAnsi="Calibri" w:cs="Calibri"/>
                <w:b/>
                <w:bCs/>
                <w:color w:val="000000"/>
                <w:sz w:val="16"/>
                <w:szCs w:val="16"/>
              </w:rPr>
              <w:t>HR Consultancy Services for Salary Scale Revision</w:t>
            </w:r>
            <w:r w:rsidR="00DE1E7B">
              <w:rPr>
                <w:rFonts w:ascii="Calibri" w:eastAsia="Times New Roman" w:hAnsi="Calibri" w:cs="Calibri"/>
                <w:b/>
                <w:bCs/>
                <w:color w:val="000000"/>
                <w:sz w:val="16"/>
                <w:szCs w:val="16"/>
              </w:rPr>
              <w:t xml:space="preserve"> </w:t>
            </w:r>
          </w:p>
          <w:p w14:paraId="4B975150" w14:textId="42D1B871" w:rsidR="00C2365E" w:rsidRPr="00C2365E" w:rsidRDefault="00DE1E7B" w:rsidP="00DE1E7B">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(As per table below annex  3)</w:t>
            </w:r>
          </w:p>
        </w:tc>
        <w:tc>
          <w:tcPr>
            <w:tcW w:w="0" w:type="auto"/>
            <w:tcBorders>
              <w:top w:val="nil"/>
              <w:left w:val="nil"/>
              <w:bottom w:val="single" w:sz="8" w:space="0" w:color="auto"/>
              <w:right w:val="single" w:sz="8" w:space="0" w:color="auto"/>
            </w:tcBorders>
            <w:shd w:val="clear" w:color="auto" w:fill="auto"/>
            <w:noWrap/>
            <w:vAlign w:val="center"/>
            <w:hideMark/>
          </w:tcPr>
          <w:p w14:paraId="071739DD"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Piece</w:t>
            </w:r>
          </w:p>
        </w:tc>
        <w:tc>
          <w:tcPr>
            <w:tcW w:w="0" w:type="auto"/>
            <w:tcBorders>
              <w:top w:val="nil"/>
              <w:left w:val="nil"/>
              <w:bottom w:val="single" w:sz="8" w:space="0" w:color="auto"/>
              <w:right w:val="single" w:sz="8" w:space="0" w:color="auto"/>
            </w:tcBorders>
            <w:shd w:val="clear" w:color="auto" w:fill="auto"/>
            <w:noWrap/>
            <w:vAlign w:val="center"/>
            <w:hideMark/>
          </w:tcPr>
          <w:p w14:paraId="211397EC"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07B7FAE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shd w:val="clear" w:color="auto" w:fill="auto"/>
            <w:noWrap/>
            <w:vAlign w:val="center"/>
            <w:hideMark/>
          </w:tcPr>
          <w:p w14:paraId="38210BF1"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shd w:val="clear" w:color="auto" w:fill="auto"/>
            <w:noWrap/>
            <w:vAlign w:val="center"/>
            <w:hideMark/>
          </w:tcPr>
          <w:p w14:paraId="66D3F3D7"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r>
    </w:tbl>
    <w:p w14:paraId="66253BEC" w14:textId="77777777" w:rsidR="000330F9" w:rsidRDefault="000330F9" w:rsidP="00B773AA">
      <w:pPr>
        <w:spacing w:after="0" w:line="240" w:lineRule="auto"/>
        <w:jc w:val="both"/>
        <w:rPr>
          <w:rFonts w:cstheme="minorHAnsi"/>
          <w:b/>
          <w:bCs/>
          <w:color w:val="000000" w:themeColor="text1"/>
          <w:lang w:val="en-US"/>
        </w:rPr>
      </w:pPr>
    </w:p>
    <w:p w14:paraId="60062993" w14:textId="77777777" w:rsidR="000C7C3A" w:rsidRDefault="000C7C3A" w:rsidP="000C7C3A">
      <w:pPr>
        <w:pStyle w:val="Heading2"/>
        <w:jc w:val="both"/>
        <w:rPr>
          <w:rFonts w:asciiTheme="minorHAnsi" w:hAnsiTheme="minorHAnsi" w:cstheme="minorHAnsi"/>
          <w:smallCaps/>
          <w:color w:val="C00000"/>
          <w:sz w:val="22"/>
          <w:szCs w:val="22"/>
        </w:rPr>
        <w:sectPr w:rsidR="000C7C3A"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tbl>
      <w:tblPr>
        <w:tblW w:w="10440" w:type="dxa"/>
        <w:tblInd w:w="-545" w:type="dxa"/>
        <w:tblLook w:val="04A0" w:firstRow="1" w:lastRow="0" w:firstColumn="1" w:lastColumn="0" w:noHBand="0" w:noVBand="1"/>
      </w:tblPr>
      <w:tblGrid>
        <w:gridCol w:w="2535"/>
        <w:gridCol w:w="7905"/>
      </w:tblGrid>
      <w:tr w:rsidR="009A48E6" w:rsidRPr="009A48E6" w14:paraId="77174F48" w14:textId="77777777" w:rsidTr="009A48E6">
        <w:trPr>
          <w:trHeight w:val="300"/>
        </w:trPr>
        <w:tc>
          <w:tcPr>
            <w:tcW w:w="10440"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46E5C083" w14:textId="70ADEFA5" w:rsidR="009A48E6" w:rsidRPr="009A48E6" w:rsidRDefault="009A48E6" w:rsidP="009A48E6">
            <w:pPr>
              <w:spacing w:after="0" w:line="240" w:lineRule="auto"/>
              <w:rPr>
                <w:rFonts w:ascii="Calibri" w:eastAsia="Times New Roman" w:hAnsi="Calibri" w:cs="Calibri"/>
                <w:b/>
                <w:bCs/>
                <w:i/>
                <w:iCs/>
                <w:color w:val="000000"/>
                <w:sz w:val="18"/>
                <w:szCs w:val="18"/>
                <w:lang w:val="en-US"/>
              </w:rPr>
            </w:pPr>
            <w:r w:rsidRPr="009A48E6">
              <w:rPr>
                <w:rFonts w:ascii="Calibri" w:eastAsia="Times New Roman" w:hAnsi="Calibri" w:cs="Calibri"/>
                <w:b/>
                <w:bCs/>
                <w:color w:val="000000"/>
                <w:sz w:val="18"/>
                <w:szCs w:val="18"/>
                <w:lang w:val="en-US"/>
              </w:rPr>
              <w:t>Terms of Reference (ToR): Revision of the Salary Scale</w:t>
            </w:r>
          </w:p>
        </w:tc>
      </w:tr>
      <w:tr w:rsidR="009A48E6" w:rsidRPr="009A48E6" w14:paraId="5DBB3A5A" w14:textId="77777777" w:rsidTr="009A48E6">
        <w:trPr>
          <w:trHeight w:val="490"/>
        </w:trPr>
        <w:tc>
          <w:tcPr>
            <w:tcW w:w="2535" w:type="dxa"/>
            <w:tcBorders>
              <w:top w:val="nil"/>
              <w:left w:val="single" w:sz="8" w:space="0" w:color="auto"/>
              <w:bottom w:val="single" w:sz="8" w:space="0" w:color="auto"/>
              <w:right w:val="single" w:sz="8" w:space="0" w:color="auto"/>
            </w:tcBorders>
            <w:shd w:val="clear" w:color="000000" w:fill="D9D9D9"/>
            <w:vAlign w:val="center"/>
            <w:hideMark/>
          </w:tcPr>
          <w:p w14:paraId="54497A5C" w14:textId="7480C6D8" w:rsidR="009A48E6" w:rsidRPr="009A48E6" w:rsidRDefault="009A48E6" w:rsidP="009A48E6">
            <w:pPr>
              <w:spacing w:after="0" w:line="240" w:lineRule="auto"/>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LRC Requirements</w:t>
            </w:r>
          </w:p>
        </w:tc>
        <w:tc>
          <w:tcPr>
            <w:tcW w:w="7905" w:type="dxa"/>
            <w:tcBorders>
              <w:top w:val="nil"/>
              <w:left w:val="nil"/>
              <w:bottom w:val="single" w:sz="8" w:space="0" w:color="auto"/>
              <w:right w:val="single" w:sz="8" w:space="0" w:color="auto"/>
            </w:tcBorders>
            <w:shd w:val="clear" w:color="000000" w:fill="D9D9D9"/>
            <w:vAlign w:val="center"/>
            <w:hideMark/>
          </w:tcPr>
          <w:p w14:paraId="21E80958" w14:textId="79417270" w:rsidR="009A48E6" w:rsidRPr="009A48E6" w:rsidRDefault="009A48E6" w:rsidP="009A48E6">
            <w:pPr>
              <w:spacing w:after="0" w:line="240" w:lineRule="auto"/>
              <w:rPr>
                <w:rFonts w:ascii="Calibri" w:eastAsia="Times New Roman" w:hAnsi="Calibri" w:cs="Calibri"/>
                <w:b/>
                <w:bCs/>
                <w:color w:val="000000"/>
                <w:sz w:val="18"/>
                <w:szCs w:val="18"/>
                <w:lang w:val="en-US"/>
              </w:rPr>
            </w:pPr>
          </w:p>
        </w:tc>
      </w:tr>
      <w:tr w:rsidR="009A48E6" w:rsidRPr="009A48E6" w14:paraId="24A2F64A"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72BA702D"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theme="minorHAnsi"/>
                <w:color w:val="000000"/>
                <w:sz w:val="18"/>
                <w:szCs w:val="18"/>
              </w:rPr>
              <w:t> </w:t>
            </w:r>
          </w:p>
        </w:tc>
        <w:tc>
          <w:tcPr>
            <w:tcW w:w="7905" w:type="dxa"/>
            <w:tcBorders>
              <w:top w:val="nil"/>
              <w:left w:val="nil"/>
              <w:bottom w:val="nil"/>
              <w:right w:val="single" w:sz="8" w:space="0" w:color="auto"/>
            </w:tcBorders>
            <w:shd w:val="clear" w:color="auto" w:fill="auto"/>
            <w:noWrap/>
            <w:vAlign w:val="center"/>
          </w:tcPr>
          <w:p w14:paraId="756E543F" w14:textId="287A5382" w:rsidR="009A48E6" w:rsidRPr="009A48E6" w:rsidRDefault="009A48E6" w:rsidP="009A48E6">
            <w:pPr>
              <w:spacing w:after="0" w:line="240" w:lineRule="auto"/>
              <w:jc w:val="both"/>
              <w:rPr>
                <w:rFonts w:ascii="Calibri" w:eastAsia="Times New Roman" w:hAnsi="Calibri" w:cs="Calibri"/>
                <w:color w:val="000000"/>
                <w:sz w:val="18"/>
                <w:szCs w:val="18"/>
                <w:lang w:val="en-US"/>
              </w:rPr>
            </w:pPr>
          </w:p>
        </w:tc>
      </w:tr>
      <w:tr w:rsidR="009A48E6" w:rsidRPr="009A48E6" w14:paraId="15D66A30"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1ACF4309"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Background:</w:t>
            </w:r>
          </w:p>
        </w:tc>
        <w:tc>
          <w:tcPr>
            <w:tcW w:w="7905" w:type="dxa"/>
            <w:tcBorders>
              <w:top w:val="nil"/>
              <w:left w:val="nil"/>
              <w:bottom w:val="nil"/>
              <w:right w:val="single" w:sz="8" w:space="0" w:color="auto"/>
            </w:tcBorders>
            <w:shd w:val="clear" w:color="auto" w:fill="auto"/>
            <w:noWrap/>
            <w:vAlign w:val="center"/>
            <w:hideMark/>
          </w:tcPr>
          <w:p w14:paraId="1C4B750E"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4984ECDF"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5DB46D95"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6DDCC52B" w14:textId="40F9DDB5"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In 2017, LRC has conducted a salary scale benchmarking exercise and chose to be</w:t>
            </w:r>
          </w:p>
        </w:tc>
      </w:tr>
      <w:tr w:rsidR="009A48E6" w:rsidRPr="009A48E6" w14:paraId="7E192A17"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0B7FF05F"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46351952"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positioned at the 20th percentile less than the market.</w:t>
            </w:r>
          </w:p>
        </w:tc>
      </w:tr>
      <w:tr w:rsidR="009A48E6" w:rsidRPr="009A48E6" w14:paraId="39C75769"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2670A340"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4A33A17F"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Today, LRC seeks to revise its salary scale and build the capacity of its HR team to manage</w:t>
            </w:r>
          </w:p>
        </w:tc>
      </w:tr>
      <w:tr w:rsidR="009A48E6" w:rsidRPr="009A48E6" w14:paraId="6C37C200"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2F711B8E"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47A02B43" w14:textId="77777777" w:rsid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and maintain the revised structure.</w:t>
            </w:r>
          </w:p>
          <w:p w14:paraId="213AEA35"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p>
        </w:tc>
      </w:tr>
      <w:tr w:rsidR="009A48E6" w:rsidRPr="009A48E6" w14:paraId="4E2E5ECD"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321A7688"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Objectives</w:t>
            </w:r>
            <w:r w:rsidRPr="009A48E6">
              <w:rPr>
                <w:rFonts w:ascii="Calibri" w:eastAsia="Times New Roman" w:hAnsi="Calibri" w:cs="Calibri"/>
                <w:color w:val="000000"/>
                <w:sz w:val="18"/>
                <w:szCs w:val="18"/>
                <w:lang w:val="en-US"/>
              </w:rPr>
              <w:t>:</w:t>
            </w:r>
          </w:p>
        </w:tc>
        <w:tc>
          <w:tcPr>
            <w:tcW w:w="7905" w:type="dxa"/>
            <w:tcBorders>
              <w:top w:val="nil"/>
              <w:left w:val="nil"/>
              <w:bottom w:val="nil"/>
              <w:right w:val="single" w:sz="8" w:space="0" w:color="auto"/>
            </w:tcBorders>
            <w:shd w:val="clear" w:color="auto" w:fill="auto"/>
            <w:noWrap/>
            <w:vAlign w:val="center"/>
            <w:hideMark/>
          </w:tcPr>
          <w:p w14:paraId="3C42150D"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26A42778"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63F7B876"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316C667A"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1- Revise the current salary scale based on the results of the benchmarking exercise</w:t>
            </w:r>
          </w:p>
        </w:tc>
      </w:tr>
      <w:tr w:rsidR="009A48E6" w:rsidRPr="009A48E6" w14:paraId="7C38DCE1"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028AF592"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27FBA6C0"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2- Integrate tools and methodologies used during the benchmarking process</w:t>
            </w:r>
          </w:p>
        </w:tc>
      </w:tr>
      <w:tr w:rsidR="009A48E6" w:rsidRPr="009A48E6" w14:paraId="0359B683"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2C7E9F5F"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10B4CE44"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3- Train the LRC HR team on the revised salary scale, tolls and future maintenance</w:t>
            </w:r>
          </w:p>
        </w:tc>
      </w:tr>
      <w:tr w:rsidR="009A48E6" w:rsidRPr="009A48E6" w14:paraId="7AB0748F"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23BB6EB9"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Scope of work:</w:t>
            </w:r>
          </w:p>
        </w:tc>
        <w:tc>
          <w:tcPr>
            <w:tcW w:w="7905" w:type="dxa"/>
            <w:tcBorders>
              <w:top w:val="nil"/>
              <w:left w:val="nil"/>
              <w:bottom w:val="nil"/>
              <w:right w:val="single" w:sz="8" w:space="0" w:color="auto"/>
            </w:tcBorders>
            <w:shd w:val="clear" w:color="auto" w:fill="auto"/>
            <w:noWrap/>
            <w:vAlign w:val="center"/>
            <w:hideMark/>
          </w:tcPr>
          <w:p w14:paraId="68936C59"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39CE8EE9"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5E74972C"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39D84B53"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The consultant/firm will be:</w:t>
            </w:r>
          </w:p>
        </w:tc>
      </w:tr>
      <w:tr w:rsidR="009A48E6" w:rsidRPr="009A48E6" w14:paraId="28231895"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444D5FBB"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675E4FAA"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1- Reviewing the existing salary scale</w:t>
            </w:r>
          </w:p>
        </w:tc>
      </w:tr>
      <w:tr w:rsidR="009A48E6" w:rsidRPr="009A48E6" w14:paraId="2FAA1541"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6572CE37"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005DF5C4"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2- Providing current market analysis and benchmarking exercise</w:t>
            </w:r>
          </w:p>
        </w:tc>
      </w:tr>
      <w:tr w:rsidR="009A48E6" w:rsidRPr="009A48E6" w14:paraId="4BB4096D"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2AFE292C"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737E3494"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3- Proposing a revised salary scale</w:t>
            </w:r>
          </w:p>
        </w:tc>
      </w:tr>
      <w:tr w:rsidR="009A48E6" w:rsidRPr="009A48E6" w14:paraId="646E0838"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54DA7795"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5C2A78ED"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4- Developing a user-friendly salary scale management tool</w:t>
            </w:r>
          </w:p>
        </w:tc>
      </w:tr>
      <w:tr w:rsidR="009A48E6" w:rsidRPr="009A48E6" w14:paraId="4E02FAD6"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6C3E2A4D"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27E9C3A3"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5- Delivering a training workshop to the HR team on the full process</w:t>
            </w:r>
          </w:p>
        </w:tc>
      </w:tr>
      <w:tr w:rsidR="009A48E6" w:rsidRPr="009A48E6" w14:paraId="2B268293"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635DCD8A"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20A31342"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6- Preparing an Excel sheet showing the grade for all LRC positions based on the new</w:t>
            </w:r>
          </w:p>
        </w:tc>
      </w:tr>
      <w:tr w:rsidR="009A48E6" w:rsidRPr="009A48E6" w14:paraId="1FB98F05"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7F6C12B2"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701639F0"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salary scale.</w:t>
            </w:r>
          </w:p>
        </w:tc>
      </w:tr>
      <w:tr w:rsidR="009A48E6" w:rsidRPr="009A48E6" w14:paraId="2B5353F6"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2CB07CC6"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Deliverables:</w:t>
            </w:r>
          </w:p>
        </w:tc>
        <w:tc>
          <w:tcPr>
            <w:tcW w:w="7905" w:type="dxa"/>
            <w:tcBorders>
              <w:top w:val="nil"/>
              <w:left w:val="nil"/>
              <w:bottom w:val="nil"/>
              <w:right w:val="single" w:sz="8" w:space="0" w:color="auto"/>
            </w:tcBorders>
            <w:shd w:val="clear" w:color="auto" w:fill="auto"/>
            <w:noWrap/>
            <w:vAlign w:val="center"/>
            <w:hideMark/>
          </w:tcPr>
          <w:p w14:paraId="09AF7620"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319A245F"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36C8CFE5"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50DC61A0"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1- Inception Report with work plan and timeline</w:t>
            </w:r>
          </w:p>
        </w:tc>
      </w:tr>
      <w:tr w:rsidR="009A48E6" w:rsidRPr="009A48E6" w14:paraId="113AACF2"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017223E9"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12D85B7E"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2- Revised salary scale with documentation</w:t>
            </w:r>
          </w:p>
        </w:tc>
      </w:tr>
      <w:tr w:rsidR="009A48E6" w:rsidRPr="009A48E6" w14:paraId="7B314696"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1309796D"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6D83FA96"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3- Salary Scale management tools</w:t>
            </w:r>
          </w:p>
        </w:tc>
      </w:tr>
      <w:tr w:rsidR="009A48E6" w:rsidRPr="009A48E6" w14:paraId="3B1F575E"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2C6DD4EA"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0C8DE88E"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4- Training materials</w:t>
            </w:r>
          </w:p>
        </w:tc>
      </w:tr>
      <w:tr w:rsidR="009A48E6" w:rsidRPr="009A48E6" w14:paraId="6E26F1DC"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3C678B70"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Timeline:</w:t>
            </w:r>
          </w:p>
        </w:tc>
        <w:tc>
          <w:tcPr>
            <w:tcW w:w="7905" w:type="dxa"/>
            <w:tcBorders>
              <w:top w:val="nil"/>
              <w:left w:val="nil"/>
              <w:bottom w:val="nil"/>
              <w:right w:val="single" w:sz="8" w:space="0" w:color="auto"/>
            </w:tcBorders>
            <w:shd w:val="clear" w:color="auto" w:fill="auto"/>
            <w:noWrap/>
            <w:vAlign w:val="center"/>
            <w:hideMark/>
          </w:tcPr>
          <w:p w14:paraId="6B5D1CCE"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28EE486E"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67197BD5"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67BAC488" w14:textId="77777777" w:rsid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From the contract date we expect the exercise to be completed within 9 weeks</w:t>
            </w:r>
          </w:p>
          <w:p w14:paraId="7681A733" w14:textId="77777777" w:rsidR="009A48E6" w:rsidRDefault="009A48E6" w:rsidP="009A48E6">
            <w:pPr>
              <w:spacing w:after="0" w:line="240" w:lineRule="auto"/>
              <w:jc w:val="both"/>
              <w:rPr>
                <w:rFonts w:ascii="Calibri" w:eastAsia="Times New Roman" w:hAnsi="Calibri" w:cs="Calibri"/>
                <w:color w:val="000000"/>
                <w:sz w:val="18"/>
                <w:szCs w:val="18"/>
                <w:lang w:val="en-US"/>
              </w:rPr>
            </w:pPr>
          </w:p>
          <w:p w14:paraId="57B07E68"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p>
        </w:tc>
      </w:tr>
      <w:tr w:rsidR="009A48E6" w:rsidRPr="009A48E6" w14:paraId="1E98229A" w14:textId="77777777" w:rsidTr="009A48E6">
        <w:trPr>
          <w:trHeight w:val="290"/>
        </w:trPr>
        <w:tc>
          <w:tcPr>
            <w:tcW w:w="2535" w:type="dxa"/>
            <w:tcBorders>
              <w:top w:val="nil"/>
              <w:left w:val="single" w:sz="8" w:space="0" w:color="auto"/>
              <w:bottom w:val="nil"/>
              <w:right w:val="single" w:sz="8" w:space="0" w:color="auto"/>
            </w:tcBorders>
            <w:shd w:val="clear" w:color="auto" w:fill="auto"/>
            <w:noWrap/>
            <w:vAlign w:val="center"/>
            <w:hideMark/>
          </w:tcPr>
          <w:p w14:paraId="585D65F9"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Consultant/Firm Qualifications:</w:t>
            </w:r>
          </w:p>
        </w:tc>
        <w:tc>
          <w:tcPr>
            <w:tcW w:w="7905" w:type="dxa"/>
            <w:tcBorders>
              <w:top w:val="nil"/>
              <w:left w:val="nil"/>
              <w:bottom w:val="nil"/>
              <w:right w:val="single" w:sz="8" w:space="0" w:color="auto"/>
            </w:tcBorders>
            <w:shd w:val="clear" w:color="auto" w:fill="auto"/>
            <w:noWrap/>
            <w:vAlign w:val="center"/>
            <w:hideMark/>
          </w:tcPr>
          <w:p w14:paraId="121DDC46" w14:textId="77777777" w:rsidR="009A48E6" w:rsidRPr="009A48E6" w:rsidRDefault="009A48E6" w:rsidP="009A48E6">
            <w:pPr>
              <w:spacing w:after="0" w:line="240" w:lineRule="auto"/>
              <w:jc w:val="both"/>
              <w:rPr>
                <w:rFonts w:ascii="Calibri" w:eastAsia="Times New Roman" w:hAnsi="Calibri" w:cs="Calibri"/>
                <w:b/>
                <w:bCs/>
                <w:color w:val="000000"/>
                <w:sz w:val="18"/>
                <w:szCs w:val="18"/>
                <w:lang w:val="en-US"/>
              </w:rPr>
            </w:pPr>
            <w:r w:rsidRPr="009A48E6">
              <w:rPr>
                <w:rFonts w:ascii="Calibri" w:eastAsia="Times New Roman" w:hAnsi="Calibri" w:cs="Calibri"/>
                <w:b/>
                <w:bCs/>
                <w:color w:val="000000"/>
                <w:sz w:val="18"/>
                <w:szCs w:val="18"/>
                <w:lang w:val="en-US"/>
              </w:rPr>
              <w:t> </w:t>
            </w:r>
          </w:p>
        </w:tc>
      </w:tr>
      <w:tr w:rsidR="009A48E6" w:rsidRPr="009A48E6" w14:paraId="739ADB8A"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4D743820"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7E99F6B8"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1- Proven experience in HR consultancy particularly in compensation and benefits</w:t>
            </w:r>
          </w:p>
        </w:tc>
      </w:tr>
      <w:tr w:rsidR="009A48E6" w:rsidRPr="009A48E6" w14:paraId="2EDE4683"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16E53027"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7174F4BF"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2- Proven experience in salary benchmarking, pay structure design and compensation</w:t>
            </w:r>
          </w:p>
        </w:tc>
      </w:tr>
      <w:tr w:rsidR="009A48E6" w:rsidRPr="009A48E6" w14:paraId="0BF4913E"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2043E4A3"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67A6FAE8"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strategies.</w:t>
            </w:r>
          </w:p>
        </w:tc>
      </w:tr>
      <w:tr w:rsidR="009A48E6" w:rsidRPr="009A48E6" w14:paraId="18DB1DD5" w14:textId="77777777" w:rsidTr="009A48E6">
        <w:trPr>
          <w:trHeight w:val="290"/>
        </w:trPr>
        <w:tc>
          <w:tcPr>
            <w:tcW w:w="2535" w:type="dxa"/>
            <w:tcBorders>
              <w:top w:val="nil"/>
              <w:left w:val="single" w:sz="8" w:space="0" w:color="auto"/>
              <w:bottom w:val="nil"/>
              <w:right w:val="single" w:sz="8" w:space="0" w:color="auto"/>
            </w:tcBorders>
            <w:shd w:val="clear" w:color="auto" w:fill="auto"/>
            <w:vAlign w:val="center"/>
            <w:hideMark/>
          </w:tcPr>
          <w:p w14:paraId="4074ADC6"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573B4BE3"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3- Previous experience in Humanitarian Sector</w:t>
            </w:r>
          </w:p>
        </w:tc>
      </w:tr>
      <w:tr w:rsidR="009A48E6" w:rsidRPr="009A48E6" w14:paraId="67B9EF8A" w14:textId="77777777" w:rsidTr="009A48E6">
        <w:trPr>
          <w:trHeight w:val="480"/>
        </w:trPr>
        <w:tc>
          <w:tcPr>
            <w:tcW w:w="2535" w:type="dxa"/>
            <w:tcBorders>
              <w:top w:val="nil"/>
              <w:left w:val="single" w:sz="8" w:space="0" w:color="auto"/>
              <w:bottom w:val="nil"/>
              <w:right w:val="single" w:sz="8" w:space="0" w:color="auto"/>
            </w:tcBorders>
            <w:shd w:val="clear" w:color="auto" w:fill="auto"/>
            <w:vAlign w:val="center"/>
            <w:hideMark/>
          </w:tcPr>
          <w:p w14:paraId="29142A1B"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nil"/>
              <w:bottom w:val="nil"/>
              <w:right w:val="single" w:sz="8" w:space="0" w:color="auto"/>
            </w:tcBorders>
            <w:shd w:val="clear" w:color="auto" w:fill="auto"/>
            <w:noWrap/>
            <w:vAlign w:val="center"/>
            <w:hideMark/>
          </w:tcPr>
          <w:p w14:paraId="05A00A5B"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4- Ensure that any market data or employee information used during the benchmarking</w:t>
            </w:r>
          </w:p>
        </w:tc>
      </w:tr>
      <w:tr w:rsidR="009A48E6" w:rsidRPr="009A48E6" w14:paraId="601F85F1" w14:textId="77777777" w:rsidTr="009A48E6">
        <w:trPr>
          <w:trHeight w:val="300"/>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632780F5" w14:textId="77777777" w:rsidR="009A48E6" w:rsidRPr="009A48E6" w:rsidRDefault="009A48E6" w:rsidP="009A48E6">
            <w:pPr>
              <w:spacing w:after="0" w:line="240" w:lineRule="auto"/>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 </w:t>
            </w:r>
          </w:p>
        </w:tc>
        <w:tc>
          <w:tcPr>
            <w:tcW w:w="7905" w:type="dxa"/>
            <w:tcBorders>
              <w:top w:val="nil"/>
              <w:left w:val="single" w:sz="8" w:space="0" w:color="auto"/>
              <w:bottom w:val="single" w:sz="8" w:space="0" w:color="auto"/>
              <w:right w:val="single" w:sz="8" w:space="0" w:color="auto"/>
            </w:tcBorders>
            <w:shd w:val="clear" w:color="auto" w:fill="auto"/>
            <w:noWrap/>
            <w:vAlign w:val="center"/>
            <w:hideMark/>
          </w:tcPr>
          <w:p w14:paraId="7D8B328F" w14:textId="77777777" w:rsidR="009A48E6" w:rsidRPr="009A48E6" w:rsidRDefault="009A48E6" w:rsidP="009A48E6">
            <w:pPr>
              <w:spacing w:after="0" w:line="240" w:lineRule="auto"/>
              <w:jc w:val="both"/>
              <w:rPr>
                <w:rFonts w:ascii="Calibri" w:eastAsia="Times New Roman" w:hAnsi="Calibri" w:cs="Calibri"/>
                <w:color w:val="000000"/>
                <w:sz w:val="18"/>
                <w:szCs w:val="18"/>
                <w:lang w:val="en-US"/>
              </w:rPr>
            </w:pPr>
            <w:r w:rsidRPr="009A48E6">
              <w:rPr>
                <w:rFonts w:ascii="Calibri" w:eastAsia="Times New Roman" w:hAnsi="Calibri" w:cs="Calibri"/>
                <w:color w:val="000000"/>
                <w:sz w:val="18"/>
                <w:szCs w:val="18"/>
                <w:lang w:val="en-US"/>
              </w:rPr>
              <w:t>exercise is handled confidentially and ethically.</w:t>
            </w:r>
          </w:p>
        </w:tc>
      </w:tr>
    </w:tbl>
    <w:p w14:paraId="0DCE8571" w14:textId="77777777" w:rsidR="009A48E6" w:rsidRDefault="009A48E6" w:rsidP="000C7C3A">
      <w:pPr>
        <w:rPr>
          <w:lang w:val="en-US"/>
        </w:rPr>
      </w:pP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lastRenderedPageBreak/>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For these companies it is compulsory to attach a scan either / photo copy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6CBA0413"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9A48E6">
              <w:rPr>
                <w:rFonts w:cstheme="minorHAnsi"/>
                <w:b/>
                <w:bCs/>
                <w:u w:val="single"/>
                <w:lang w:val="en-US"/>
              </w:rPr>
              <w:t>34</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5"/>
        <w:gridCol w:w="812"/>
        <w:gridCol w:w="633"/>
        <w:gridCol w:w="1631"/>
        <w:gridCol w:w="702"/>
        <w:gridCol w:w="631"/>
        <w:gridCol w:w="1852"/>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B2038D">
        <w:trPr>
          <w:trHeight w:val="242"/>
        </w:trPr>
        <w:tc>
          <w:tcPr>
            <w:tcW w:w="1994"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30"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B2038D">
        <w:trPr>
          <w:trHeight w:val="656"/>
        </w:trPr>
        <w:tc>
          <w:tcPr>
            <w:tcW w:w="1994"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90"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B2038D">
        <w:trPr>
          <w:trHeight w:val="392"/>
        </w:trPr>
        <w:tc>
          <w:tcPr>
            <w:tcW w:w="1994"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90"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B2038D">
        <w:trPr>
          <w:trHeight w:val="545"/>
        </w:trPr>
        <w:tc>
          <w:tcPr>
            <w:tcW w:w="1994"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B2038D">
        <w:trPr>
          <w:trHeight w:val="545"/>
        </w:trPr>
        <w:tc>
          <w:tcPr>
            <w:tcW w:w="1994"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B2038D">
        <w:trPr>
          <w:trHeight w:val="545"/>
        </w:trPr>
        <w:tc>
          <w:tcPr>
            <w:tcW w:w="1994"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B2038D">
        <w:trPr>
          <w:trHeight w:val="545"/>
        </w:trPr>
        <w:tc>
          <w:tcPr>
            <w:tcW w:w="1994"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B2038D">
        <w:trPr>
          <w:trHeight w:val="545"/>
        </w:trPr>
        <w:tc>
          <w:tcPr>
            <w:tcW w:w="1994"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B2038D">
        <w:trPr>
          <w:trHeight w:val="545"/>
        </w:trPr>
        <w:tc>
          <w:tcPr>
            <w:tcW w:w="1994"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B2038D">
        <w:trPr>
          <w:trHeight w:val="545"/>
        </w:trPr>
        <w:tc>
          <w:tcPr>
            <w:tcW w:w="1994"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8F4908E" w14:textId="77777777" w:rsidR="007019DC" w:rsidRPr="00A21838" w:rsidRDefault="007019DC" w:rsidP="008E2B85">
            <w:pPr>
              <w:rPr>
                <w:rFonts w:cstheme="minorHAnsi"/>
              </w:rPr>
            </w:pPr>
          </w:p>
        </w:tc>
      </w:tr>
      <w:tr w:rsidR="00B773AA" w:rsidRPr="00A21838" w14:paraId="6D0E2BC0" w14:textId="77777777" w:rsidTr="00B2038D">
        <w:trPr>
          <w:trHeight w:val="33"/>
        </w:trPr>
        <w:tc>
          <w:tcPr>
            <w:tcW w:w="1994" w:type="pct"/>
            <w:vAlign w:val="center"/>
          </w:tcPr>
          <w:p w14:paraId="36811282" w14:textId="43AAFEA0" w:rsidR="00B773AA" w:rsidRPr="00A21838" w:rsidRDefault="00B773AA" w:rsidP="00B773AA">
            <w:pPr>
              <w:rPr>
                <w:rFonts w:cstheme="minorHAnsi"/>
                <w:b/>
              </w:rPr>
            </w:pPr>
            <w:r w:rsidRPr="00A21838">
              <w:rPr>
                <w:rFonts w:cstheme="minorHAnsi"/>
                <w:b/>
                <w:bCs/>
                <w:lang w:bidi="ar-LB"/>
              </w:rPr>
              <w:t>GRC Certification</w:t>
            </w:r>
            <w:r w:rsidR="00B2038D">
              <w:rPr>
                <w:rFonts w:cstheme="minorHAnsi"/>
                <w:b/>
                <w:bCs/>
                <w:lang w:bidi="ar-LB"/>
              </w:rPr>
              <w:t xml:space="preserve"> &amp; </w:t>
            </w:r>
            <w:r w:rsidR="00B2038D" w:rsidRPr="00A21838">
              <w:rPr>
                <w:rFonts w:cstheme="minorHAnsi"/>
                <w:b/>
                <w:bCs/>
                <w:lang w:bidi="ar-LB"/>
              </w:rPr>
              <w:t>Due Diligence 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0"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B2038D">
        <w:trPr>
          <w:trHeight w:val="33"/>
        </w:trPr>
        <w:tc>
          <w:tcPr>
            <w:tcW w:w="1994" w:type="pct"/>
            <w:vAlign w:val="center"/>
          </w:tcPr>
          <w:p w14:paraId="38CAFE78" w14:textId="51787AA9" w:rsidR="00B773AA" w:rsidRPr="00A21838" w:rsidRDefault="00B2038D" w:rsidP="00B773AA">
            <w:pPr>
              <w:rPr>
                <w:rFonts w:cstheme="minorHAnsi"/>
                <w:b/>
              </w:rPr>
            </w:pPr>
            <w:r w:rsidRPr="00B2038D">
              <w:rPr>
                <w:rFonts w:cstheme="minorHAnsi"/>
                <w:b/>
                <w:bCs/>
                <w:lang w:bidi="ar-LB"/>
              </w:rPr>
              <w:t>AFD Integrity</w:t>
            </w:r>
            <w:r w:rsidR="00332946" w:rsidRPr="00A21838">
              <w:rPr>
                <w:rFonts w:cstheme="minorHAnsi"/>
                <w:lang w:bidi="ar-LB"/>
              </w:rPr>
              <w:t>–</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End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End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End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EndPr/>
          <w:sdtContent>
            <w:tc>
              <w:tcPr>
                <w:tcW w:w="303" w:type="pct"/>
                <w:vAlign w:val="center"/>
              </w:tcPr>
              <w:p w14:paraId="13307525" w14:textId="4C8E8FD4"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0" w:type="pct"/>
            <w:vAlign w:val="center"/>
          </w:tcPr>
          <w:p w14:paraId="450ACAA2" w14:textId="77777777" w:rsidR="00B773AA" w:rsidRPr="00A21838" w:rsidRDefault="00B773AA" w:rsidP="00B773AA">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B2038D">
        <w:trPr>
          <w:trHeight w:val="545"/>
        </w:trPr>
        <w:tc>
          <w:tcPr>
            <w:tcW w:w="1994" w:type="pct"/>
            <w:shd w:val="clear" w:color="auto" w:fill="auto"/>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shd w:val="clear" w:color="auto" w:fill="auto"/>
            <w:vAlign w:val="center"/>
          </w:tcPr>
          <w:p w14:paraId="19F7061B" w14:textId="77777777" w:rsidR="007019DC" w:rsidRPr="00A21838" w:rsidRDefault="007019DC" w:rsidP="008E2B85">
            <w:pPr>
              <w:rPr>
                <w:rFonts w:cstheme="minorHAnsi"/>
              </w:rPr>
            </w:pPr>
          </w:p>
        </w:tc>
      </w:tr>
      <w:tr w:rsidR="007019DC" w:rsidRPr="00A21838" w14:paraId="316CB283" w14:textId="77777777" w:rsidTr="00B2038D">
        <w:trPr>
          <w:trHeight w:val="545"/>
        </w:trPr>
        <w:tc>
          <w:tcPr>
            <w:tcW w:w="1994" w:type="pct"/>
            <w:vAlign w:val="center"/>
          </w:tcPr>
          <w:p w14:paraId="2D2D2A0D" w14:textId="77777777" w:rsidR="007019DC" w:rsidRPr="00A21838" w:rsidRDefault="007019DC" w:rsidP="008E2B85">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B2038D">
        <w:trPr>
          <w:trHeight w:val="545"/>
        </w:trPr>
        <w:tc>
          <w:tcPr>
            <w:tcW w:w="1994" w:type="pct"/>
            <w:vAlign w:val="center"/>
          </w:tcPr>
          <w:p w14:paraId="32090DFA" w14:textId="77777777" w:rsidR="007019DC" w:rsidRPr="00A21838" w:rsidRDefault="007019DC" w:rsidP="008E2B85">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B2038D">
        <w:trPr>
          <w:trHeight w:val="209"/>
        </w:trPr>
        <w:tc>
          <w:tcPr>
            <w:tcW w:w="1994"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B2038D">
        <w:trPr>
          <w:trHeight w:val="291"/>
        </w:trPr>
        <w:tc>
          <w:tcPr>
            <w:tcW w:w="1994"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9E92" w14:textId="77777777" w:rsidR="00685E66" w:rsidRDefault="00685E66" w:rsidP="00ED3A74">
      <w:pPr>
        <w:spacing w:after="0" w:line="240" w:lineRule="auto"/>
      </w:pPr>
      <w:r>
        <w:separator/>
      </w:r>
    </w:p>
  </w:endnote>
  <w:endnote w:type="continuationSeparator" w:id="0">
    <w:p w14:paraId="0233C2C3" w14:textId="77777777" w:rsidR="00685E66" w:rsidRDefault="00685E66" w:rsidP="00ED3A74">
      <w:pPr>
        <w:spacing w:after="0" w:line="240" w:lineRule="auto"/>
      </w:pPr>
      <w:r>
        <w:continuationSeparator/>
      </w:r>
    </w:p>
  </w:endnote>
  <w:endnote w:type="continuationNotice" w:id="1">
    <w:p w14:paraId="61784041" w14:textId="77777777" w:rsidR="00685E66" w:rsidRDefault="00685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20687" w14:textId="77777777" w:rsidR="00685E66" w:rsidRDefault="00685E66" w:rsidP="00ED3A74">
      <w:pPr>
        <w:spacing w:after="0" w:line="240" w:lineRule="auto"/>
      </w:pPr>
      <w:r>
        <w:separator/>
      </w:r>
    </w:p>
  </w:footnote>
  <w:footnote w:type="continuationSeparator" w:id="0">
    <w:p w14:paraId="5EBC431F" w14:textId="77777777" w:rsidR="00685E66" w:rsidRDefault="00685E66" w:rsidP="00ED3A74">
      <w:pPr>
        <w:spacing w:after="0" w:line="240" w:lineRule="auto"/>
      </w:pPr>
      <w:r>
        <w:continuationSeparator/>
      </w:r>
    </w:p>
  </w:footnote>
  <w:footnote w:type="continuationNotice" w:id="1">
    <w:p w14:paraId="65CCB245" w14:textId="77777777" w:rsidR="00685E66" w:rsidRDefault="00685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8C4031E" w:rsidR="001505A8" w:rsidRDefault="001505A8" w:rsidP="001505A8">
    <w:pPr>
      <w:pStyle w:val="Header"/>
      <w:jc w:val="right"/>
      <w:rPr>
        <w:noProof/>
      </w:rPr>
    </w:pPr>
    <w:r>
      <w:t>Tender reference: 2025-0</w:t>
    </w:r>
    <w:r w:rsidR="0030066B">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4"/>
  </w:num>
  <w:num w:numId="3" w16cid:durableId="1694841798">
    <w:abstractNumId w:val="8"/>
  </w:num>
  <w:num w:numId="4" w16cid:durableId="534006320">
    <w:abstractNumId w:val="0"/>
  </w:num>
  <w:num w:numId="5" w16cid:durableId="805006742">
    <w:abstractNumId w:val="19"/>
  </w:num>
  <w:num w:numId="6" w16cid:durableId="1426072520">
    <w:abstractNumId w:val="15"/>
  </w:num>
  <w:num w:numId="7" w16cid:durableId="227501363">
    <w:abstractNumId w:val="3"/>
  </w:num>
  <w:num w:numId="8" w16cid:durableId="491944188">
    <w:abstractNumId w:val="6"/>
  </w:num>
  <w:num w:numId="9" w16cid:durableId="433482495">
    <w:abstractNumId w:val="23"/>
  </w:num>
  <w:num w:numId="10" w16cid:durableId="1394549192">
    <w:abstractNumId w:val="2"/>
  </w:num>
  <w:num w:numId="11" w16cid:durableId="880243611">
    <w:abstractNumId w:val="17"/>
  </w:num>
  <w:num w:numId="12" w16cid:durableId="741099906">
    <w:abstractNumId w:val="7"/>
  </w:num>
  <w:num w:numId="13" w16cid:durableId="599679599">
    <w:abstractNumId w:val="4"/>
  </w:num>
  <w:num w:numId="14" w16cid:durableId="1225406338">
    <w:abstractNumId w:val="21"/>
  </w:num>
  <w:num w:numId="15" w16cid:durableId="684288697">
    <w:abstractNumId w:val="18"/>
  </w:num>
  <w:num w:numId="16" w16cid:durableId="1207595752">
    <w:abstractNumId w:val="22"/>
  </w:num>
  <w:num w:numId="17" w16cid:durableId="822283985">
    <w:abstractNumId w:val="16"/>
  </w:num>
  <w:num w:numId="18" w16cid:durableId="185872980">
    <w:abstractNumId w:val="20"/>
  </w:num>
  <w:num w:numId="19" w16cid:durableId="550311536">
    <w:abstractNumId w:val="10"/>
  </w:num>
  <w:num w:numId="20" w16cid:durableId="1633486148">
    <w:abstractNumId w:val="13"/>
  </w:num>
  <w:num w:numId="21" w16cid:durableId="1271820716">
    <w:abstractNumId w:val="11"/>
  </w:num>
  <w:num w:numId="22" w16cid:durableId="1942565444">
    <w:abstractNumId w:val="5"/>
  </w:num>
  <w:num w:numId="23" w16cid:durableId="2012174904">
    <w:abstractNumId w:val="12"/>
  </w:num>
  <w:num w:numId="24" w16cid:durableId="1511484532">
    <w:abstractNumId w:val="1"/>
  </w:num>
  <w:num w:numId="25" w16cid:durableId="19818788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8058</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cp:revision>
  <cp:lastPrinted>2025-04-09T08:02:00Z</cp:lastPrinted>
  <dcterms:created xsi:type="dcterms:W3CDTF">2025-07-14T10:16:00Z</dcterms:created>
  <dcterms:modified xsi:type="dcterms:W3CDTF">2025-07-14T10:30:00Z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