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9D34" w14:textId="7115F8ED" w:rsidR="00723BD5" w:rsidRPr="00D36639" w:rsidRDefault="00723BD5" w:rsidP="00723BD5">
      <w:pPr>
        <w:jc w:val="both"/>
        <w:rPr>
          <w:rFonts w:cstheme="minorHAnsi"/>
          <w:b/>
          <w:bCs/>
          <w:color w:val="548DD4" w:themeColor="text2" w:themeTint="99"/>
          <w:sz w:val="24"/>
          <w:szCs w:val="24"/>
        </w:rPr>
      </w:pPr>
      <w:bookmarkStart w:id="0" w:name="_Toc459799300"/>
      <w:r w:rsidRPr="00D36639">
        <w:rPr>
          <w:rFonts w:cstheme="minorHAnsi"/>
          <w:b/>
          <w:bCs/>
          <w:color w:val="548DD4" w:themeColor="text2" w:themeTint="99"/>
          <w:sz w:val="24"/>
          <w:szCs w:val="24"/>
        </w:rPr>
        <w:t>INVITATION TO BID (ITB) NO: 2025-0</w:t>
      </w:r>
      <w:r w:rsidR="009069D7">
        <w:rPr>
          <w:rFonts w:cstheme="minorHAnsi"/>
          <w:b/>
          <w:bCs/>
          <w:color w:val="548DD4" w:themeColor="text2" w:themeTint="99"/>
          <w:sz w:val="24"/>
          <w:szCs w:val="24"/>
        </w:rPr>
        <w:t>4</w:t>
      </w:r>
      <w:r w:rsidR="001E310F">
        <w:rPr>
          <w:rFonts w:cstheme="minorHAnsi"/>
          <w:b/>
          <w:bCs/>
          <w:color w:val="548DD4" w:themeColor="text2" w:themeTint="99"/>
          <w:sz w:val="24"/>
          <w:szCs w:val="24"/>
        </w:rPr>
        <w:t>7</w:t>
      </w:r>
      <w:r w:rsidRPr="00D36639">
        <w:rPr>
          <w:rFonts w:cstheme="minorHAnsi"/>
          <w:b/>
          <w:bCs/>
          <w:color w:val="548DD4" w:themeColor="text2" w:themeTint="99"/>
          <w:sz w:val="24"/>
          <w:szCs w:val="24"/>
        </w:rPr>
        <w:t xml:space="preserve"> </w:t>
      </w:r>
      <w:r w:rsidR="001E310F">
        <w:rPr>
          <w:rFonts w:eastAsiaTheme="majorEastAsia" w:cstheme="minorHAnsi"/>
          <w:b/>
          <w:bCs/>
          <w:smallCaps/>
          <w:color w:val="4F81BD" w:themeColor="accent1"/>
          <w:spacing w:val="5"/>
          <w:sz w:val="24"/>
          <w:szCs w:val="24"/>
        </w:rPr>
        <w:t>EPCR APPLICATION</w:t>
      </w:r>
      <w:r w:rsidR="00F84A47">
        <w:rPr>
          <w:rFonts w:eastAsiaTheme="majorEastAsia" w:cstheme="minorHAnsi"/>
          <w:b/>
          <w:bCs/>
          <w:smallCaps/>
          <w:color w:val="4F81BD" w:themeColor="accent1"/>
          <w:spacing w:val="5"/>
          <w:sz w:val="24"/>
          <w:szCs w:val="24"/>
        </w:rPr>
        <w:t xml:space="preserve"> </w:t>
      </w:r>
      <w:r w:rsidR="00D66634">
        <w:rPr>
          <w:rFonts w:eastAsiaTheme="majorEastAsia" w:cstheme="minorHAnsi"/>
          <w:b/>
          <w:bCs/>
          <w:smallCaps/>
          <w:color w:val="4F81BD" w:themeColor="accent1"/>
          <w:spacing w:val="5"/>
          <w:sz w:val="24"/>
          <w:szCs w:val="24"/>
        </w:rPr>
        <w:t>(FRAMEWORK Agreement for Two Years)</w:t>
      </w:r>
      <w:r w:rsidR="000F67D9">
        <w:rPr>
          <w:rFonts w:eastAsiaTheme="majorEastAsia" w:cstheme="minorHAnsi"/>
          <w:b/>
          <w:bCs/>
          <w:smallCaps/>
          <w:color w:val="4F81BD" w:themeColor="accent1"/>
          <w:spacing w:val="5"/>
          <w:sz w:val="24"/>
          <w:szCs w:val="24"/>
        </w:rPr>
        <w:t xml:space="preserve"> with possibility of one year extension</w:t>
      </w:r>
    </w:p>
    <w:p w14:paraId="4E186345" w14:textId="1202DF9D" w:rsidR="001505A8" w:rsidRDefault="00723BD5" w:rsidP="001E310F">
      <w:pPr>
        <w:autoSpaceDE w:val="0"/>
        <w:autoSpaceDN w:val="0"/>
        <w:adjustRightInd w:val="0"/>
        <w:spacing w:after="0" w:line="240" w:lineRule="auto"/>
        <w:jc w:val="both"/>
        <w:rPr>
          <w:rFonts w:cstheme="minorHAnsi"/>
          <w:lang w:val="en-US"/>
        </w:rPr>
      </w:pPr>
      <w:r w:rsidRPr="00A21838">
        <w:rPr>
          <w:rFonts w:cstheme="minorHAnsi"/>
        </w:rPr>
        <w:t>The Lebanese Red Cross (LRC) hereby invites sealed bids from qualified suppliers, registered with the Lebanese government</w:t>
      </w:r>
      <w:r w:rsidR="001E310F">
        <w:rPr>
          <w:rFonts w:cstheme="minorHAnsi"/>
        </w:rPr>
        <w:t xml:space="preserve"> for</w:t>
      </w:r>
      <w:r w:rsidR="001E310F" w:rsidRPr="001E310F">
        <w:rPr>
          <w:rFonts w:cstheme="minorHAnsi"/>
          <w:lang w:val="en-US"/>
        </w:rPr>
        <w:t xml:space="preserve"> implementing an electronic patient care report application and is looking for a tablet application with native android to streamline operations for Emergency Medical Services (EMS) by developing a native android tablet application for use by EMS volunteers and the EMS Operating Room (OR). The application will optimize mission dispatch, ambulance tracking, and patient care reporting, ensuring efficient communication and coordination across EMS stations nationwide.</w:t>
      </w:r>
    </w:p>
    <w:p w14:paraId="7EF157EB" w14:textId="77777777" w:rsidR="001E310F" w:rsidRPr="00A21838" w:rsidRDefault="001E310F" w:rsidP="001E310F">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723BD5" w:rsidRPr="00A21838" w14:paraId="4BDFA735" w14:textId="77777777" w:rsidTr="008B7B1A">
        <w:trPr>
          <w:trHeight w:val="260"/>
        </w:trPr>
        <w:tc>
          <w:tcPr>
            <w:tcW w:w="1528" w:type="pct"/>
            <w:shd w:val="clear" w:color="auto" w:fill="F2F2F2" w:themeFill="background1" w:themeFillShade="F2"/>
            <w:vAlign w:val="center"/>
          </w:tcPr>
          <w:p w14:paraId="3AB61F65" w14:textId="77777777" w:rsidR="00723BD5" w:rsidRPr="00A21838" w:rsidRDefault="00723BD5" w:rsidP="008B7B1A">
            <w:pPr>
              <w:spacing w:after="0" w:line="240" w:lineRule="auto"/>
              <w:rPr>
                <w:rFonts w:cstheme="minorHAnsi"/>
                <w:b/>
                <w:bCs/>
              </w:rPr>
            </w:pPr>
            <w:r w:rsidRPr="00A21838">
              <w:rPr>
                <w:rFonts w:cstheme="minorHAnsi"/>
                <w:b/>
                <w:bCs/>
              </w:rPr>
              <w:t>INCOTERMS:</w:t>
            </w:r>
          </w:p>
        </w:tc>
        <w:tc>
          <w:tcPr>
            <w:tcW w:w="3472" w:type="pct"/>
          </w:tcPr>
          <w:p w14:paraId="77DF4825" w14:textId="77777777" w:rsidR="00723BD5" w:rsidRPr="00A21838" w:rsidRDefault="00723BD5" w:rsidP="008B7B1A">
            <w:pPr>
              <w:spacing w:after="0" w:line="240" w:lineRule="auto"/>
              <w:jc w:val="both"/>
              <w:rPr>
                <w:rFonts w:cstheme="minorHAnsi"/>
              </w:rPr>
            </w:pPr>
            <w:r w:rsidRPr="00A21838">
              <w:rPr>
                <w:rFonts w:cstheme="minorHAnsi"/>
                <w:noProof/>
              </w:rPr>
              <w:t>DDP – Beirut Delivery Duty Paid</w:t>
            </w:r>
          </w:p>
        </w:tc>
      </w:tr>
      <w:tr w:rsidR="00723BD5" w:rsidRPr="00A21838" w14:paraId="2DAE0E0E" w14:textId="77777777" w:rsidTr="008B7B1A">
        <w:trPr>
          <w:trHeight w:val="298"/>
        </w:trPr>
        <w:tc>
          <w:tcPr>
            <w:tcW w:w="1528" w:type="pct"/>
            <w:shd w:val="clear" w:color="auto" w:fill="F2F2F2" w:themeFill="background1" w:themeFillShade="F2"/>
            <w:vAlign w:val="center"/>
          </w:tcPr>
          <w:p w14:paraId="5E1E6828" w14:textId="77777777" w:rsidR="00723BD5" w:rsidRPr="00A21838" w:rsidRDefault="00723BD5" w:rsidP="008B7B1A">
            <w:pPr>
              <w:spacing w:after="0" w:line="240" w:lineRule="auto"/>
              <w:rPr>
                <w:rFonts w:cstheme="minorHAnsi"/>
                <w:b/>
                <w:bCs/>
              </w:rPr>
            </w:pPr>
            <w:r w:rsidRPr="00A21838">
              <w:rPr>
                <w:rFonts w:cstheme="minorHAnsi"/>
                <w:b/>
                <w:bCs/>
              </w:rPr>
              <w:t>Delivery address of the Bid:</w:t>
            </w:r>
          </w:p>
        </w:tc>
        <w:tc>
          <w:tcPr>
            <w:tcW w:w="3472" w:type="pct"/>
          </w:tcPr>
          <w:p w14:paraId="4F8EA072" w14:textId="77777777" w:rsidR="00723BD5" w:rsidRPr="00A21838" w:rsidRDefault="00723BD5" w:rsidP="008B7B1A">
            <w:pPr>
              <w:spacing w:after="0" w:line="240" w:lineRule="auto"/>
              <w:jc w:val="both"/>
              <w:rPr>
                <w:rFonts w:cstheme="minorHAnsi"/>
                <w:noProof/>
              </w:rPr>
            </w:pPr>
            <w:r w:rsidRPr="00A21838">
              <w:rPr>
                <w:rFonts w:cstheme="minorHAnsi"/>
                <w:noProof/>
              </w:rPr>
              <w:t>Lebanese Red Cross  Head Quarters, Finance Sector, 2</w:t>
            </w:r>
            <w:r w:rsidRPr="00A21838">
              <w:rPr>
                <w:rFonts w:cstheme="minorHAnsi"/>
                <w:noProof/>
                <w:vertAlign w:val="superscript"/>
              </w:rPr>
              <w:t xml:space="preserve">st </w:t>
            </w:r>
            <w:r w:rsidRPr="00A21838">
              <w:rPr>
                <w:rFonts w:cstheme="minorHAnsi"/>
                <w:noProof/>
              </w:rPr>
              <w:t>floor, Spears Street, Kantari, Beirut, Lebanon</w:t>
            </w:r>
          </w:p>
        </w:tc>
      </w:tr>
      <w:tr w:rsidR="00723BD5" w:rsidRPr="00A21838" w14:paraId="204C4CA1" w14:textId="77777777" w:rsidTr="008B7B1A">
        <w:trPr>
          <w:trHeight w:val="287"/>
        </w:trPr>
        <w:tc>
          <w:tcPr>
            <w:tcW w:w="1528" w:type="pct"/>
            <w:shd w:val="clear" w:color="auto" w:fill="F2F2F2" w:themeFill="background1" w:themeFillShade="F2"/>
            <w:vAlign w:val="center"/>
          </w:tcPr>
          <w:p w14:paraId="095E045C" w14:textId="77777777" w:rsidR="00723BD5" w:rsidRPr="00A21838" w:rsidRDefault="00723BD5" w:rsidP="008B7B1A">
            <w:pPr>
              <w:spacing w:after="0" w:line="240" w:lineRule="auto"/>
              <w:rPr>
                <w:rFonts w:cstheme="minorHAnsi"/>
                <w:b/>
                <w:bCs/>
              </w:rPr>
            </w:pPr>
            <w:r w:rsidRPr="00A21838">
              <w:rPr>
                <w:rFonts w:cstheme="minorHAnsi"/>
                <w:b/>
                <w:bCs/>
              </w:rPr>
              <w:t>ITB Published Date:</w:t>
            </w:r>
          </w:p>
        </w:tc>
        <w:tc>
          <w:tcPr>
            <w:tcW w:w="3472" w:type="pct"/>
          </w:tcPr>
          <w:p w14:paraId="76D9E5A8" w14:textId="5D61B076" w:rsidR="00723BD5" w:rsidRPr="00A21838" w:rsidRDefault="003944AF" w:rsidP="008B7B1A">
            <w:pPr>
              <w:spacing w:after="0" w:line="240" w:lineRule="auto"/>
              <w:jc w:val="both"/>
              <w:rPr>
                <w:rFonts w:cstheme="minorHAnsi"/>
              </w:rPr>
            </w:pPr>
            <w:r>
              <w:rPr>
                <w:rFonts w:cstheme="minorHAnsi"/>
              </w:rPr>
              <w:t>13</w:t>
            </w:r>
            <w:r w:rsidR="00B60BC7">
              <w:rPr>
                <w:rFonts w:cstheme="minorHAnsi"/>
              </w:rPr>
              <w:t xml:space="preserve"> </w:t>
            </w:r>
            <w:r w:rsidR="00D66634">
              <w:rPr>
                <w:rFonts w:cstheme="minorHAnsi"/>
              </w:rPr>
              <w:t>August</w:t>
            </w:r>
            <w:r w:rsidR="00723BD5">
              <w:rPr>
                <w:rFonts w:cstheme="minorHAnsi"/>
              </w:rPr>
              <w:t>, 2025</w:t>
            </w:r>
          </w:p>
        </w:tc>
      </w:tr>
      <w:tr w:rsidR="00723BD5" w:rsidRPr="00A21838" w14:paraId="15B05320" w14:textId="77777777" w:rsidTr="008B7B1A">
        <w:trPr>
          <w:trHeight w:val="287"/>
        </w:trPr>
        <w:tc>
          <w:tcPr>
            <w:tcW w:w="1528" w:type="pct"/>
            <w:shd w:val="clear" w:color="auto" w:fill="F2F2F2" w:themeFill="background1" w:themeFillShade="F2"/>
            <w:vAlign w:val="center"/>
          </w:tcPr>
          <w:p w14:paraId="2A2473DD" w14:textId="77777777" w:rsidR="00723BD5" w:rsidRPr="00A21838" w:rsidRDefault="00723BD5" w:rsidP="008B7B1A">
            <w:pPr>
              <w:spacing w:after="0" w:line="240" w:lineRule="auto"/>
              <w:rPr>
                <w:rFonts w:cstheme="minorHAnsi"/>
                <w:b/>
                <w:bCs/>
              </w:rPr>
            </w:pPr>
            <w:r w:rsidRPr="00A21838">
              <w:rPr>
                <w:rFonts w:cstheme="minorHAnsi"/>
                <w:b/>
                <w:bCs/>
              </w:rPr>
              <w:t>Bid Submission deadline:</w:t>
            </w:r>
          </w:p>
        </w:tc>
        <w:tc>
          <w:tcPr>
            <w:tcW w:w="3472" w:type="pct"/>
          </w:tcPr>
          <w:p w14:paraId="537DA1AD" w14:textId="688F825D" w:rsidR="00723BD5" w:rsidRPr="00A21838" w:rsidRDefault="000503D4" w:rsidP="008B7B1A">
            <w:pPr>
              <w:spacing w:after="0" w:line="240" w:lineRule="auto"/>
              <w:jc w:val="both"/>
              <w:rPr>
                <w:rFonts w:cstheme="minorHAnsi"/>
              </w:rPr>
            </w:pPr>
            <w:r>
              <w:rPr>
                <w:rFonts w:cstheme="minorHAnsi"/>
              </w:rPr>
              <w:t>September 12</w:t>
            </w:r>
            <w:proofErr w:type="gramStart"/>
            <w:r w:rsidR="00723BD5" w:rsidRPr="00A21838">
              <w:rPr>
                <w:rFonts w:cstheme="minorHAnsi"/>
              </w:rPr>
              <w:t xml:space="preserve"> 2025</w:t>
            </w:r>
            <w:proofErr w:type="gramEnd"/>
            <w:r w:rsidR="00723BD5" w:rsidRPr="00A21838">
              <w:rPr>
                <w:rFonts w:cstheme="minorHAnsi"/>
              </w:rPr>
              <w:t xml:space="preserve"> / Time: </w:t>
            </w:r>
            <w:r w:rsidR="00723BD5">
              <w:rPr>
                <w:rFonts w:cstheme="minorHAnsi"/>
              </w:rPr>
              <w:t>2</w:t>
            </w:r>
            <w:r w:rsidR="00723BD5" w:rsidRPr="00A21838">
              <w:rPr>
                <w:rFonts w:cstheme="minorHAnsi"/>
              </w:rPr>
              <w:t xml:space="preserve">:00 p.m. </w:t>
            </w:r>
          </w:p>
        </w:tc>
      </w:tr>
      <w:tr w:rsidR="00723BD5" w:rsidRPr="00A21838" w14:paraId="28F897CF" w14:textId="77777777" w:rsidTr="008B7B1A">
        <w:trPr>
          <w:trHeight w:val="287"/>
        </w:trPr>
        <w:tc>
          <w:tcPr>
            <w:tcW w:w="1528" w:type="pct"/>
            <w:shd w:val="clear" w:color="auto" w:fill="F2F2F2" w:themeFill="background1" w:themeFillShade="F2"/>
            <w:vAlign w:val="center"/>
          </w:tcPr>
          <w:p w14:paraId="2871ADF8" w14:textId="77777777" w:rsidR="00723BD5" w:rsidRPr="00A21838" w:rsidRDefault="00723BD5" w:rsidP="008B7B1A">
            <w:pPr>
              <w:spacing w:after="0" w:line="240" w:lineRule="auto"/>
              <w:rPr>
                <w:rFonts w:cstheme="minorHAnsi"/>
                <w:b/>
                <w:bCs/>
              </w:rPr>
            </w:pPr>
            <w:r w:rsidRPr="00A21838">
              <w:rPr>
                <w:rFonts w:cstheme="minorHAnsi"/>
                <w:b/>
                <w:bCs/>
              </w:rPr>
              <w:t>Deadline for questions:</w:t>
            </w:r>
          </w:p>
        </w:tc>
        <w:tc>
          <w:tcPr>
            <w:tcW w:w="3472" w:type="pct"/>
          </w:tcPr>
          <w:p w14:paraId="2C2BD78A" w14:textId="0F8B0C30" w:rsidR="00723BD5" w:rsidRPr="00A21838" w:rsidRDefault="00723BD5" w:rsidP="008B7B1A">
            <w:pPr>
              <w:spacing w:after="0" w:line="240" w:lineRule="auto"/>
              <w:jc w:val="both"/>
              <w:rPr>
                <w:rFonts w:cstheme="minorHAnsi"/>
                <w:bCs/>
              </w:rPr>
            </w:pPr>
            <w:r>
              <w:rPr>
                <w:rFonts w:cstheme="minorHAnsi"/>
              </w:rPr>
              <w:t xml:space="preserve">August </w:t>
            </w:r>
            <w:r w:rsidR="00D66634">
              <w:rPr>
                <w:rFonts w:cstheme="minorHAnsi"/>
              </w:rPr>
              <w:t>2</w:t>
            </w:r>
            <w:r w:rsidR="008131C0">
              <w:rPr>
                <w:rFonts w:cstheme="minorHAnsi"/>
              </w:rPr>
              <w:t>9</w:t>
            </w:r>
            <w:proofErr w:type="gramStart"/>
            <w:r w:rsidR="00D66634">
              <w:rPr>
                <w:rFonts w:cstheme="minorHAnsi"/>
              </w:rPr>
              <w:t xml:space="preserve"> </w:t>
            </w:r>
            <w:r w:rsidRPr="00A21838">
              <w:rPr>
                <w:rFonts w:cstheme="minorHAnsi"/>
              </w:rPr>
              <w:t>2025</w:t>
            </w:r>
            <w:proofErr w:type="gramEnd"/>
            <w:r w:rsidRPr="00A21838">
              <w:rPr>
                <w:rFonts w:cstheme="minorHAnsi"/>
                <w:bCs/>
              </w:rPr>
              <w:t xml:space="preserve"> / Time: </w:t>
            </w:r>
            <w:r>
              <w:rPr>
                <w:rFonts w:cstheme="minorHAnsi"/>
                <w:bCs/>
              </w:rPr>
              <w:t>2</w:t>
            </w:r>
            <w:r w:rsidRPr="00A21838">
              <w:rPr>
                <w:rFonts w:cstheme="minorHAnsi"/>
                <w:bCs/>
              </w:rPr>
              <w:t xml:space="preserve">:00 p.m. </w:t>
            </w:r>
          </w:p>
        </w:tc>
      </w:tr>
      <w:tr w:rsidR="00723BD5" w:rsidRPr="00A21838" w14:paraId="762B4440" w14:textId="77777777" w:rsidTr="008B7B1A">
        <w:trPr>
          <w:trHeight w:val="287"/>
        </w:trPr>
        <w:tc>
          <w:tcPr>
            <w:tcW w:w="1528" w:type="pct"/>
            <w:shd w:val="clear" w:color="auto" w:fill="F2F2F2" w:themeFill="background1" w:themeFillShade="F2"/>
            <w:vAlign w:val="center"/>
          </w:tcPr>
          <w:p w14:paraId="63E4AF66" w14:textId="77777777" w:rsidR="00723BD5" w:rsidRPr="00A21838" w:rsidRDefault="00723BD5" w:rsidP="008B7B1A">
            <w:pPr>
              <w:spacing w:after="0" w:line="240" w:lineRule="auto"/>
              <w:rPr>
                <w:rFonts w:cstheme="minorHAnsi"/>
                <w:b/>
                <w:bCs/>
              </w:rPr>
            </w:pPr>
            <w:r w:rsidRPr="00A21838">
              <w:rPr>
                <w:rFonts w:cstheme="minorHAnsi"/>
                <w:b/>
                <w:bCs/>
              </w:rPr>
              <w:t>Bids to be marked:</w:t>
            </w:r>
          </w:p>
        </w:tc>
        <w:tc>
          <w:tcPr>
            <w:tcW w:w="3472" w:type="pct"/>
          </w:tcPr>
          <w:p w14:paraId="5729B5AB" w14:textId="5404938F" w:rsidR="00723BD5" w:rsidRPr="00A21838" w:rsidRDefault="00723BD5" w:rsidP="008B7B1A">
            <w:pPr>
              <w:spacing w:after="0" w:line="240" w:lineRule="auto"/>
              <w:jc w:val="both"/>
              <w:rPr>
                <w:rFonts w:cstheme="minorHAnsi"/>
                <w:b/>
                <w:bCs/>
              </w:rPr>
            </w:pPr>
            <w:r w:rsidRPr="00A21838">
              <w:rPr>
                <w:rFonts w:cstheme="minorHAnsi"/>
              </w:rPr>
              <w:t xml:space="preserve">Tender reference: </w:t>
            </w:r>
            <w:r w:rsidRPr="00A21838">
              <w:rPr>
                <w:rFonts w:cstheme="minorHAnsi"/>
                <w:b/>
                <w:bCs/>
              </w:rPr>
              <w:t>2025-0</w:t>
            </w:r>
            <w:r w:rsidR="00D66634">
              <w:rPr>
                <w:rFonts w:cstheme="minorHAnsi"/>
                <w:b/>
                <w:bCs/>
              </w:rPr>
              <w:t>4</w:t>
            </w:r>
            <w:r w:rsidR="008131C0">
              <w:rPr>
                <w:rFonts w:cstheme="minorHAnsi"/>
                <w:b/>
                <w:bCs/>
              </w:rPr>
              <w:t>7</w:t>
            </w:r>
            <w:r>
              <w:rPr>
                <w:rFonts w:cstheme="minorHAnsi"/>
                <w:b/>
                <w:bCs/>
              </w:rPr>
              <w:t xml:space="preserve"> </w:t>
            </w:r>
            <w:r w:rsidRPr="00A21838">
              <w:rPr>
                <w:rFonts w:cstheme="minorHAnsi"/>
              </w:rPr>
              <w:t>Do does not open before</w:t>
            </w:r>
            <w:r>
              <w:rPr>
                <w:rFonts w:cstheme="minorHAnsi"/>
                <w:b/>
              </w:rPr>
              <w:t xml:space="preserve"> </w:t>
            </w:r>
            <w:r w:rsidR="000077C7">
              <w:rPr>
                <w:rFonts w:cstheme="minorHAnsi"/>
                <w:b/>
              </w:rPr>
              <w:t>September12,</w:t>
            </w:r>
            <w:r>
              <w:rPr>
                <w:rFonts w:cstheme="minorHAnsi"/>
                <w:b/>
              </w:rPr>
              <w:t xml:space="preserve"> </w:t>
            </w:r>
            <w:r w:rsidRPr="00A21838">
              <w:rPr>
                <w:rFonts w:cstheme="minorHAnsi"/>
                <w:b/>
              </w:rPr>
              <w:t>2025</w:t>
            </w:r>
          </w:p>
        </w:tc>
      </w:tr>
      <w:tr w:rsidR="00723BD5" w:rsidRPr="00A21838" w14:paraId="3DF2C09D" w14:textId="77777777" w:rsidTr="008B7B1A">
        <w:trPr>
          <w:trHeight w:val="287"/>
        </w:trPr>
        <w:tc>
          <w:tcPr>
            <w:tcW w:w="5000" w:type="pct"/>
            <w:gridSpan w:val="2"/>
            <w:shd w:val="clear" w:color="auto" w:fill="F2F2F2" w:themeFill="background1" w:themeFillShade="F2"/>
            <w:vAlign w:val="center"/>
          </w:tcPr>
          <w:p w14:paraId="74E63100" w14:textId="77777777" w:rsidR="00723BD5" w:rsidRPr="00A21838" w:rsidRDefault="00723BD5" w:rsidP="008B7B1A">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w:t>
      </w:r>
      <w:proofErr w:type="gramStart"/>
      <w:r w:rsidR="00364DFC">
        <w:rPr>
          <w:rFonts w:asciiTheme="minorHAnsi" w:hAnsiTheme="minorHAnsi" w:cstheme="minorHAnsi"/>
          <w:color w:val="C00000"/>
          <w:lang w:val="en-US"/>
        </w:rPr>
        <w:t>below</w:t>
      </w:r>
      <w:proofErr w:type="gramEnd"/>
      <w:r w:rsidR="00364DFC">
        <w:rPr>
          <w:rFonts w:asciiTheme="minorHAnsi" w:hAnsiTheme="minorHAnsi" w:cstheme="minorHAnsi"/>
          <w:color w:val="C00000"/>
          <w:lang w:val="en-US"/>
        </w:rPr>
        <w:t xml:space="preserve">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D36639"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616D8D53" w14:textId="6092F945" w:rsidR="00D36639" w:rsidRPr="00D36639" w:rsidRDefault="00AC3441" w:rsidP="00D36639">
      <w:pPr>
        <w:pStyle w:val="ListParagraph"/>
        <w:autoSpaceDE w:val="0"/>
        <w:autoSpaceDN w:val="0"/>
        <w:adjustRightInd w:val="0"/>
        <w:spacing w:after="0" w:line="240" w:lineRule="auto"/>
        <w:ind w:left="360"/>
        <w:jc w:val="both"/>
        <w:rPr>
          <w:rFonts w:cstheme="minorHAnsi"/>
          <w:b/>
          <w:bCs/>
          <w:u w:val="single"/>
        </w:rPr>
      </w:pPr>
      <w:r w:rsidRPr="00D36639">
        <w:rPr>
          <w:rFonts w:cstheme="minorHAnsi"/>
          <w:b/>
          <w:bCs/>
          <w:lang w:val="en-US"/>
        </w:rPr>
        <w:t>Subject:</w:t>
      </w:r>
      <w:r w:rsidR="00D36639">
        <w:rPr>
          <w:rFonts w:cstheme="minorHAnsi"/>
          <w:b/>
          <w:bCs/>
          <w:lang w:val="en-US"/>
        </w:rPr>
        <w:t xml:space="preserve"> </w:t>
      </w:r>
      <w:r w:rsidRPr="00D36639">
        <w:rPr>
          <w:rFonts w:cstheme="minorHAnsi"/>
          <w:b/>
          <w:bCs/>
          <w:lang w:val="en-US"/>
        </w:rPr>
        <w:t>INVITATION TO BID REFERENCE #: 2025-0</w:t>
      </w:r>
      <w:r w:rsidR="00D66634">
        <w:rPr>
          <w:rFonts w:cstheme="minorHAnsi"/>
          <w:b/>
          <w:bCs/>
          <w:lang w:val="en-US"/>
        </w:rPr>
        <w:t>4</w:t>
      </w:r>
      <w:r w:rsidR="008131C0">
        <w:rPr>
          <w:rFonts w:cstheme="minorHAnsi"/>
          <w:b/>
          <w:bCs/>
          <w:lang w:val="en-US"/>
        </w:rPr>
        <w:t>7</w:t>
      </w:r>
      <w:r w:rsidR="00D36639" w:rsidRPr="00D36639">
        <w:rPr>
          <w:rFonts w:cstheme="minorHAnsi"/>
          <w:b/>
          <w:bCs/>
          <w:lang w:val="en-US"/>
        </w:rPr>
        <w:t xml:space="preserve"> </w:t>
      </w:r>
      <w:r w:rsidR="00D36639" w:rsidRPr="00D36639">
        <w:rPr>
          <w:rFonts w:cstheme="minorHAnsi"/>
          <w:b/>
          <w:bCs/>
        </w:rPr>
        <w:t xml:space="preserve">– </w:t>
      </w:r>
      <w:r w:rsidR="008131C0">
        <w:rPr>
          <w:rFonts w:cstheme="minorHAnsi"/>
          <w:b/>
          <w:bCs/>
        </w:rPr>
        <w:t>EPCR APPLICATION</w:t>
      </w: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AC3441"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5C3B153A" w14:textId="673D04ED" w:rsidR="00AC3441" w:rsidRPr="00AC3441"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6C4EFD20" w14:textId="77777777" w:rsidR="00D66634" w:rsidRDefault="00D66634" w:rsidP="0042023F">
      <w:pPr>
        <w:autoSpaceDE w:val="0"/>
        <w:autoSpaceDN w:val="0"/>
        <w:adjustRightInd w:val="0"/>
        <w:spacing w:after="0" w:line="240" w:lineRule="auto"/>
        <w:jc w:val="both"/>
        <w:rPr>
          <w:rFonts w:cstheme="minorHAnsi"/>
          <w:lang w:val="en-US"/>
        </w:rPr>
      </w:pPr>
    </w:p>
    <w:p w14:paraId="2DD03199" w14:textId="64606856" w:rsidR="00D66634" w:rsidRDefault="00D66634" w:rsidP="00DE0350">
      <w:pPr>
        <w:autoSpaceDE w:val="0"/>
        <w:autoSpaceDN w:val="0"/>
        <w:adjustRightInd w:val="0"/>
        <w:spacing w:after="0" w:line="240" w:lineRule="auto"/>
        <w:jc w:val="both"/>
        <w:rPr>
          <w:rFonts w:cstheme="minorHAnsi"/>
          <w:lang w:val="en-US"/>
        </w:rPr>
      </w:pPr>
      <w:proofErr w:type="gramStart"/>
      <w:r w:rsidRPr="00D66634">
        <w:rPr>
          <w:rFonts w:cstheme="minorHAnsi"/>
          <w:lang w:val="en-US"/>
        </w:rPr>
        <w:t>The below</w:t>
      </w:r>
      <w:proofErr w:type="gramEnd"/>
      <w:r w:rsidRPr="00D66634">
        <w:rPr>
          <w:rFonts w:cstheme="minorHAnsi"/>
          <w:lang w:val="en-US"/>
        </w:rPr>
        <w:t xml:space="preserve"> are the minimum requirements for the vendor that will be selected for the implementation of </w:t>
      </w:r>
      <w:r w:rsidR="0050365D">
        <w:rPr>
          <w:rFonts w:cstheme="minorHAnsi"/>
          <w:b/>
          <w:bCs/>
          <w:lang w:val="en-US"/>
        </w:rPr>
        <w:t>EPCR application</w:t>
      </w:r>
      <w:r w:rsidR="00DE0350">
        <w:rPr>
          <w:rFonts w:cstheme="minorHAnsi"/>
          <w:b/>
          <w:bCs/>
          <w:lang w:val="en-US"/>
        </w:rPr>
        <w:t xml:space="preserve"> (</w:t>
      </w:r>
      <w:r w:rsidR="00DE0350" w:rsidRPr="00DE0350">
        <w:rPr>
          <w:rFonts w:cstheme="minorHAnsi"/>
          <w:b/>
          <w:bCs/>
        </w:rPr>
        <w:t>Bidders must meet all the minimum requirements listed below to qualify for technical evaluation. Please fill out the table accordingly</w:t>
      </w:r>
      <w:r w:rsidR="00DE0350">
        <w:rPr>
          <w:rFonts w:cstheme="minorHAnsi"/>
          <w:b/>
          <w:bCs/>
        </w:rPr>
        <w:t>)</w:t>
      </w:r>
      <w:r w:rsidR="00DE0350" w:rsidRPr="00DE0350">
        <w:rPr>
          <w:rFonts w:cstheme="minorHAnsi"/>
          <w:b/>
          <w:bCs/>
        </w:rPr>
        <w:t>.</w:t>
      </w:r>
    </w:p>
    <w:p w14:paraId="1E722BA8" w14:textId="77777777" w:rsidR="00D66634" w:rsidRPr="00D66634" w:rsidRDefault="00D66634" w:rsidP="00D66634">
      <w:pPr>
        <w:autoSpaceDE w:val="0"/>
        <w:autoSpaceDN w:val="0"/>
        <w:adjustRightInd w:val="0"/>
        <w:spacing w:after="0" w:line="240" w:lineRule="auto"/>
        <w:jc w:val="both"/>
        <w:rPr>
          <w:rFonts w:cstheme="minorHAnsi"/>
          <w:lang w:val="en-US"/>
        </w:rPr>
      </w:pPr>
    </w:p>
    <w:tbl>
      <w:tblPr>
        <w:tblW w:w="10809"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966"/>
        <w:gridCol w:w="1732"/>
        <w:gridCol w:w="2327"/>
      </w:tblGrid>
      <w:tr w:rsidR="008131C0" w:rsidRPr="008131C0" w14:paraId="1FB4ADC8" w14:textId="77777777" w:rsidTr="00541F57">
        <w:trPr>
          <w:trHeight w:val="370"/>
        </w:trPr>
        <w:tc>
          <w:tcPr>
            <w:tcW w:w="784" w:type="dxa"/>
            <w:shd w:val="clear" w:color="000000" w:fill="C6D9F1"/>
            <w:noWrap/>
            <w:vAlign w:val="center"/>
            <w:hideMark/>
          </w:tcPr>
          <w:p w14:paraId="0030DE12"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5966" w:type="dxa"/>
            <w:shd w:val="clear" w:color="000000" w:fill="C6D9F1"/>
            <w:vAlign w:val="center"/>
            <w:hideMark/>
          </w:tcPr>
          <w:p w14:paraId="6DC3F9E1" w14:textId="77777777" w:rsidR="008131C0" w:rsidRPr="008131C0" w:rsidRDefault="008131C0" w:rsidP="008131C0">
            <w:pPr>
              <w:spacing w:after="0" w:line="240" w:lineRule="auto"/>
              <w:rPr>
                <w:rFonts w:eastAsia="Times New Roman" w:cstheme="minorHAnsi"/>
                <w:b/>
                <w:bCs/>
                <w:color w:val="000000"/>
                <w:sz w:val="18"/>
                <w:szCs w:val="18"/>
                <w:lang w:val="en-US"/>
              </w:rPr>
            </w:pPr>
            <w:r w:rsidRPr="008131C0">
              <w:rPr>
                <w:rFonts w:eastAsia="Times New Roman" w:cstheme="minorHAnsi"/>
                <w:b/>
                <w:bCs/>
                <w:color w:val="000000"/>
                <w:sz w:val="18"/>
                <w:szCs w:val="18"/>
                <w:lang w:val="en-US"/>
              </w:rPr>
              <w:t xml:space="preserve">Minimum Requirement </w:t>
            </w:r>
          </w:p>
        </w:tc>
        <w:tc>
          <w:tcPr>
            <w:tcW w:w="1732" w:type="dxa"/>
            <w:shd w:val="clear" w:color="000000" w:fill="C6D9F1"/>
            <w:vAlign w:val="center"/>
            <w:hideMark/>
          </w:tcPr>
          <w:p w14:paraId="1256266D" w14:textId="77777777" w:rsidR="008131C0" w:rsidRPr="008131C0" w:rsidRDefault="008131C0" w:rsidP="008131C0">
            <w:pPr>
              <w:spacing w:after="0" w:line="240" w:lineRule="auto"/>
              <w:jc w:val="center"/>
              <w:rPr>
                <w:rFonts w:eastAsia="Times New Roman" w:cstheme="minorHAnsi"/>
                <w:b/>
                <w:bCs/>
                <w:color w:val="000000"/>
                <w:sz w:val="18"/>
                <w:szCs w:val="18"/>
                <w:lang w:val="en-US"/>
              </w:rPr>
            </w:pPr>
            <w:r w:rsidRPr="008131C0">
              <w:rPr>
                <w:rFonts w:eastAsia="Times New Roman" w:cstheme="minorHAnsi"/>
                <w:b/>
                <w:bCs/>
                <w:color w:val="000000"/>
                <w:sz w:val="18"/>
                <w:szCs w:val="18"/>
                <w:lang w:val="en-US"/>
              </w:rPr>
              <w:t>Bidder to complete (Yes/No)</w:t>
            </w:r>
          </w:p>
        </w:tc>
        <w:tc>
          <w:tcPr>
            <w:tcW w:w="2327" w:type="dxa"/>
            <w:shd w:val="clear" w:color="000000" w:fill="C6D9F1"/>
            <w:vAlign w:val="center"/>
            <w:hideMark/>
          </w:tcPr>
          <w:p w14:paraId="0E0CE4DD" w14:textId="77777777" w:rsidR="008131C0" w:rsidRPr="008131C0" w:rsidRDefault="008131C0" w:rsidP="008131C0">
            <w:pPr>
              <w:spacing w:after="0" w:line="240" w:lineRule="auto"/>
              <w:jc w:val="center"/>
              <w:rPr>
                <w:rFonts w:eastAsia="Times New Roman" w:cstheme="minorHAnsi"/>
                <w:b/>
                <w:bCs/>
                <w:color w:val="000000"/>
                <w:sz w:val="18"/>
                <w:szCs w:val="18"/>
                <w:lang w:val="en-US"/>
              </w:rPr>
            </w:pPr>
            <w:r w:rsidRPr="008131C0">
              <w:rPr>
                <w:rFonts w:eastAsia="Times New Roman" w:cstheme="minorHAnsi"/>
                <w:b/>
                <w:bCs/>
                <w:color w:val="000000"/>
                <w:sz w:val="18"/>
                <w:szCs w:val="18"/>
                <w:lang w:val="en-US"/>
              </w:rPr>
              <w:t xml:space="preserve">supporting document reference </w:t>
            </w:r>
          </w:p>
        </w:tc>
      </w:tr>
      <w:tr w:rsidR="008131C0" w:rsidRPr="008131C0" w14:paraId="519C9585" w14:textId="77777777" w:rsidTr="00541F57">
        <w:trPr>
          <w:trHeight w:val="412"/>
        </w:trPr>
        <w:tc>
          <w:tcPr>
            <w:tcW w:w="784" w:type="dxa"/>
            <w:noWrap/>
            <w:vAlign w:val="center"/>
            <w:hideMark/>
          </w:tcPr>
          <w:p w14:paraId="717B8DAC"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w:t>
            </w:r>
          </w:p>
        </w:tc>
        <w:tc>
          <w:tcPr>
            <w:tcW w:w="5966" w:type="dxa"/>
            <w:vAlign w:val="center"/>
            <w:hideMark/>
          </w:tcPr>
          <w:p w14:paraId="2BF6EC48"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be a world class solution provider with more than 10 years of experience.</w:t>
            </w:r>
          </w:p>
        </w:tc>
        <w:tc>
          <w:tcPr>
            <w:tcW w:w="1732" w:type="dxa"/>
            <w:vAlign w:val="center"/>
            <w:hideMark/>
          </w:tcPr>
          <w:p w14:paraId="3AD3561B"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vAlign w:val="center"/>
            <w:hideMark/>
          </w:tcPr>
          <w:p w14:paraId="589B1C61"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7897FE5D" w14:textId="77777777" w:rsidTr="00541F57">
        <w:trPr>
          <w:trHeight w:val="206"/>
        </w:trPr>
        <w:tc>
          <w:tcPr>
            <w:tcW w:w="784" w:type="dxa"/>
            <w:noWrap/>
            <w:vAlign w:val="center"/>
            <w:hideMark/>
          </w:tcPr>
          <w:p w14:paraId="7F20F8D0"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2</w:t>
            </w:r>
          </w:p>
        </w:tc>
        <w:tc>
          <w:tcPr>
            <w:tcW w:w="5966" w:type="dxa"/>
            <w:vAlign w:val="center"/>
            <w:hideMark/>
          </w:tcPr>
          <w:p w14:paraId="2EF63A2D"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have a regional presence in at least the Middle East and GCC areas.</w:t>
            </w:r>
          </w:p>
        </w:tc>
        <w:tc>
          <w:tcPr>
            <w:tcW w:w="1732" w:type="dxa"/>
            <w:vAlign w:val="center"/>
            <w:hideMark/>
          </w:tcPr>
          <w:p w14:paraId="37229881"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vAlign w:val="center"/>
            <w:hideMark/>
          </w:tcPr>
          <w:p w14:paraId="454163A1"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161FF389" w14:textId="77777777" w:rsidTr="00541F57">
        <w:trPr>
          <w:trHeight w:val="206"/>
        </w:trPr>
        <w:tc>
          <w:tcPr>
            <w:tcW w:w="784" w:type="dxa"/>
            <w:noWrap/>
            <w:vAlign w:val="center"/>
            <w:hideMark/>
          </w:tcPr>
          <w:p w14:paraId="7A061EAE"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3</w:t>
            </w:r>
          </w:p>
        </w:tc>
        <w:tc>
          <w:tcPr>
            <w:tcW w:w="5966" w:type="dxa"/>
            <w:vAlign w:val="center"/>
            <w:hideMark/>
          </w:tcPr>
          <w:p w14:paraId="57D404CD"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have a local presence in the Country.</w:t>
            </w:r>
          </w:p>
        </w:tc>
        <w:tc>
          <w:tcPr>
            <w:tcW w:w="1732" w:type="dxa"/>
            <w:vAlign w:val="center"/>
            <w:hideMark/>
          </w:tcPr>
          <w:p w14:paraId="7BC91598"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vAlign w:val="center"/>
            <w:hideMark/>
          </w:tcPr>
          <w:p w14:paraId="6C4E6259"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6A4B8B76" w14:textId="77777777" w:rsidTr="00541F57">
        <w:trPr>
          <w:trHeight w:val="412"/>
        </w:trPr>
        <w:tc>
          <w:tcPr>
            <w:tcW w:w="784" w:type="dxa"/>
            <w:noWrap/>
            <w:vAlign w:val="center"/>
            <w:hideMark/>
          </w:tcPr>
          <w:p w14:paraId="62CE8457"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4</w:t>
            </w:r>
          </w:p>
        </w:tc>
        <w:tc>
          <w:tcPr>
            <w:tcW w:w="5966" w:type="dxa"/>
            <w:vAlign w:val="center"/>
            <w:hideMark/>
          </w:tcPr>
          <w:p w14:paraId="27B7F8F0"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be recognized by major consultancy firms and industry analysts such as Gartner, Forrester Group, Frost and Sullivan and CMS Watch.</w:t>
            </w:r>
          </w:p>
        </w:tc>
        <w:tc>
          <w:tcPr>
            <w:tcW w:w="1732" w:type="dxa"/>
            <w:vAlign w:val="center"/>
            <w:hideMark/>
          </w:tcPr>
          <w:p w14:paraId="57D5E847"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vAlign w:val="center"/>
            <w:hideMark/>
          </w:tcPr>
          <w:p w14:paraId="443CC482"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3391FC83" w14:textId="77777777" w:rsidTr="00541F57">
        <w:trPr>
          <w:trHeight w:val="206"/>
        </w:trPr>
        <w:tc>
          <w:tcPr>
            <w:tcW w:w="784" w:type="dxa"/>
            <w:noWrap/>
            <w:vAlign w:val="center"/>
            <w:hideMark/>
          </w:tcPr>
          <w:p w14:paraId="6F321EB5"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5</w:t>
            </w:r>
          </w:p>
        </w:tc>
        <w:tc>
          <w:tcPr>
            <w:tcW w:w="5966" w:type="dxa"/>
            <w:vAlign w:val="center"/>
            <w:hideMark/>
          </w:tcPr>
          <w:p w14:paraId="70D0F4B8"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have at least 20 implementations in the Middle East and GCC areas.</w:t>
            </w:r>
          </w:p>
        </w:tc>
        <w:tc>
          <w:tcPr>
            <w:tcW w:w="1732" w:type="dxa"/>
            <w:noWrap/>
            <w:vAlign w:val="center"/>
            <w:hideMark/>
          </w:tcPr>
          <w:p w14:paraId="1B493780"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center"/>
            <w:hideMark/>
          </w:tcPr>
          <w:p w14:paraId="62E2D854"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61D3AB61" w14:textId="77777777" w:rsidTr="00541F57">
        <w:trPr>
          <w:trHeight w:val="206"/>
        </w:trPr>
        <w:tc>
          <w:tcPr>
            <w:tcW w:w="784" w:type="dxa"/>
            <w:noWrap/>
            <w:vAlign w:val="center"/>
            <w:hideMark/>
          </w:tcPr>
          <w:p w14:paraId="0290F9F2"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6</w:t>
            </w:r>
          </w:p>
        </w:tc>
        <w:tc>
          <w:tcPr>
            <w:tcW w:w="5966" w:type="dxa"/>
            <w:vAlign w:val="center"/>
            <w:hideMark/>
          </w:tcPr>
          <w:p w14:paraId="0ED16FEA"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have successfully implemented 10+ Public Sector Projects in Country.</w:t>
            </w:r>
          </w:p>
        </w:tc>
        <w:tc>
          <w:tcPr>
            <w:tcW w:w="1732" w:type="dxa"/>
            <w:noWrap/>
            <w:vAlign w:val="center"/>
            <w:hideMark/>
          </w:tcPr>
          <w:p w14:paraId="13BF23ED"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center"/>
            <w:hideMark/>
          </w:tcPr>
          <w:p w14:paraId="26D20341"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50E8EF3B" w14:textId="77777777" w:rsidTr="00541F57">
        <w:trPr>
          <w:trHeight w:val="206"/>
        </w:trPr>
        <w:tc>
          <w:tcPr>
            <w:tcW w:w="784" w:type="dxa"/>
            <w:noWrap/>
            <w:vAlign w:val="center"/>
            <w:hideMark/>
          </w:tcPr>
          <w:p w14:paraId="10628F1E"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7</w:t>
            </w:r>
          </w:p>
        </w:tc>
        <w:tc>
          <w:tcPr>
            <w:tcW w:w="5966" w:type="dxa"/>
            <w:vAlign w:val="center"/>
            <w:hideMark/>
          </w:tcPr>
          <w:p w14:paraId="30193470"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be able to offer direct support to its clients in Country.</w:t>
            </w:r>
          </w:p>
        </w:tc>
        <w:tc>
          <w:tcPr>
            <w:tcW w:w="1732" w:type="dxa"/>
            <w:noWrap/>
            <w:vAlign w:val="center"/>
            <w:hideMark/>
          </w:tcPr>
          <w:p w14:paraId="51FD6B8D"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center"/>
            <w:hideMark/>
          </w:tcPr>
          <w:p w14:paraId="0213E947"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193BC149" w14:textId="77777777" w:rsidTr="00541F57">
        <w:trPr>
          <w:trHeight w:val="206"/>
        </w:trPr>
        <w:tc>
          <w:tcPr>
            <w:tcW w:w="784" w:type="dxa"/>
            <w:noWrap/>
            <w:vAlign w:val="center"/>
            <w:hideMark/>
          </w:tcPr>
          <w:p w14:paraId="132E8B3F"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8</w:t>
            </w:r>
          </w:p>
        </w:tc>
        <w:tc>
          <w:tcPr>
            <w:tcW w:w="5966" w:type="dxa"/>
            <w:vAlign w:val="center"/>
            <w:hideMark/>
          </w:tcPr>
          <w:p w14:paraId="7BA0AE13"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have alliances with major software vendors such as Microsoft, Oracle…</w:t>
            </w:r>
          </w:p>
        </w:tc>
        <w:tc>
          <w:tcPr>
            <w:tcW w:w="1732" w:type="dxa"/>
            <w:noWrap/>
            <w:vAlign w:val="center"/>
            <w:hideMark/>
          </w:tcPr>
          <w:p w14:paraId="5E4305F6"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center"/>
            <w:hideMark/>
          </w:tcPr>
          <w:p w14:paraId="4C48A055"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5D361728" w14:textId="77777777" w:rsidTr="00541F57">
        <w:trPr>
          <w:trHeight w:val="412"/>
        </w:trPr>
        <w:tc>
          <w:tcPr>
            <w:tcW w:w="784" w:type="dxa"/>
            <w:noWrap/>
            <w:vAlign w:val="center"/>
            <w:hideMark/>
          </w:tcPr>
          <w:p w14:paraId="2472D048"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9</w:t>
            </w:r>
          </w:p>
        </w:tc>
        <w:tc>
          <w:tcPr>
            <w:tcW w:w="5966" w:type="dxa"/>
            <w:vAlign w:val="center"/>
            <w:hideMark/>
          </w:tcPr>
          <w:p w14:paraId="63AD2DED"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xml:space="preserve">The vendor must be responsible for providing all the solution modules from the same software manufacturer. The </w:t>
            </w:r>
            <w:proofErr w:type="gramStart"/>
            <w:r w:rsidRPr="008131C0">
              <w:rPr>
                <w:rFonts w:eastAsia="Times New Roman" w:cstheme="minorHAnsi"/>
                <w:color w:val="000000"/>
                <w:sz w:val="18"/>
                <w:szCs w:val="18"/>
                <w:lang w:val="en-US"/>
              </w:rPr>
              <w:t>offered modules</w:t>
            </w:r>
            <w:proofErr w:type="gramEnd"/>
            <w:r w:rsidRPr="008131C0">
              <w:rPr>
                <w:rFonts w:eastAsia="Times New Roman" w:cstheme="minorHAnsi"/>
                <w:color w:val="000000"/>
                <w:sz w:val="18"/>
                <w:szCs w:val="18"/>
                <w:lang w:val="en-US"/>
              </w:rPr>
              <w:t xml:space="preserve"> must be natively integrated.</w:t>
            </w:r>
          </w:p>
        </w:tc>
        <w:tc>
          <w:tcPr>
            <w:tcW w:w="1732" w:type="dxa"/>
            <w:noWrap/>
            <w:vAlign w:val="center"/>
            <w:hideMark/>
          </w:tcPr>
          <w:p w14:paraId="05C7B9CA"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center"/>
            <w:hideMark/>
          </w:tcPr>
          <w:p w14:paraId="5A2F21F2"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6F60540F" w14:textId="77777777" w:rsidTr="00541F57">
        <w:trPr>
          <w:trHeight w:val="412"/>
        </w:trPr>
        <w:tc>
          <w:tcPr>
            <w:tcW w:w="784" w:type="dxa"/>
            <w:noWrap/>
            <w:vAlign w:val="center"/>
            <w:hideMark/>
          </w:tcPr>
          <w:p w14:paraId="7F2335FD"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10</w:t>
            </w:r>
          </w:p>
        </w:tc>
        <w:tc>
          <w:tcPr>
            <w:tcW w:w="5966" w:type="dxa"/>
            <w:vAlign w:val="center"/>
            <w:hideMark/>
          </w:tcPr>
          <w:p w14:paraId="04DB30A9"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vendor must demonstrate the ability to complete the project within a defined and reasonable timeframe (6 months from contract date) to meet LRC’s operational needs.</w:t>
            </w:r>
          </w:p>
        </w:tc>
        <w:tc>
          <w:tcPr>
            <w:tcW w:w="1732" w:type="dxa"/>
            <w:noWrap/>
            <w:vAlign w:val="center"/>
            <w:hideMark/>
          </w:tcPr>
          <w:p w14:paraId="67E67FB6"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center"/>
            <w:hideMark/>
          </w:tcPr>
          <w:p w14:paraId="10BE4B6D"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44DED3C6" w14:textId="77777777" w:rsidTr="00541F57">
        <w:trPr>
          <w:trHeight w:val="619"/>
        </w:trPr>
        <w:tc>
          <w:tcPr>
            <w:tcW w:w="784" w:type="dxa"/>
            <w:noWrap/>
            <w:vAlign w:val="center"/>
            <w:hideMark/>
          </w:tcPr>
          <w:p w14:paraId="5D85BDE1"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11</w:t>
            </w:r>
          </w:p>
        </w:tc>
        <w:tc>
          <w:tcPr>
            <w:tcW w:w="5966" w:type="dxa"/>
            <w:vAlign w:val="center"/>
            <w:hideMark/>
          </w:tcPr>
          <w:p w14:paraId="6ED25972"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Short-listed vendor must provide a Proof-of-Concept (POC) as a final verification of the solution’s capabilities, demonstrating how it addresses LRC’s specific use cases in real-world applications.</w:t>
            </w:r>
          </w:p>
        </w:tc>
        <w:tc>
          <w:tcPr>
            <w:tcW w:w="1732" w:type="dxa"/>
            <w:noWrap/>
            <w:vAlign w:val="center"/>
            <w:hideMark/>
          </w:tcPr>
          <w:p w14:paraId="16BE5C28"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center"/>
            <w:hideMark/>
          </w:tcPr>
          <w:p w14:paraId="1FE23A2F"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76CDD084" w14:textId="77777777" w:rsidTr="00541F57">
        <w:trPr>
          <w:trHeight w:val="412"/>
        </w:trPr>
        <w:tc>
          <w:tcPr>
            <w:tcW w:w="784" w:type="dxa"/>
            <w:noWrap/>
            <w:vAlign w:val="center"/>
            <w:hideMark/>
          </w:tcPr>
          <w:p w14:paraId="336F1D56"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12</w:t>
            </w:r>
          </w:p>
        </w:tc>
        <w:tc>
          <w:tcPr>
            <w:tcW w:w="5966" w:type="dxa"/>
            <w:vAlign w:val="center"/>
            <w:hideMark/>
          </w:tcPr>
          <w:p w14:paraId="48C52DE1"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awarded vendor should be available for a requirement gathering session for the solution.</w:t>
            </w:r>
          </w:p>
        </w:tc>
        <w:tc>
          <w:tcPr>
            <w:tcW w:w="1732" w:type="dxa"/>
            <w:noWrap/>
            <w:vAlign w:val="center"/>
            <w:hideMark/>
          </w:tcPr>
          <w:p w14:paraId="4F7DEF13"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center"/>
            <w:hideMark/>
          </w:tcPr>
          <w:p w14:paraId="2D4979AE"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50549EEF" w14:textId="77777777" w:rsidTr="00541F57">
        <w:trPr>
          <w:trHeight w:val="619"/>
        </w:trPr>
        <w:tc>
          <w:tcPr>
            <w:tcW w:w="784" w:type="dxa"/>
            <w:noWrap/>
            <w:vAlign w:val="bottom"/>
            <w:hideMark/>
          </w:tcPr>
          <w:p w14:paraId="50C53CA8"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5966" w:type="dxa"/>
            <w:shd w:val="clear" w:color="000000" w:fill="DAE9F8"/>
            <w:vAlign w:val="bottom"/>
            <w:hideMark/>
          </w:tcPr>
          <w:p w14:paraId="39B4D7AB" w14:textId="77777777" w:rsidR="008131C0" w:rsidRPr="008131C0" w:rsidRDefault="008131C0" w:rsidP="008131C0">
            <w:pPr>
              <w:spacing w:after="0" w:line="240" w:lineRule="auto"/>
              <w:rPr>
                <w:rFonts w:eastAsia="Times New Roman" w:cstheme="minorHAnsi"/>
                <w:b/>
                <w:bCs/>
                <w:color w:val="000000"/>
                <w:sz w:val="18"/>
                <w:szCs w:val="18"/>
                <w:lang w:val="en-US"/>
              </w:rPr>
            </w:pPr>
            <w:r w:rsidRPr="008131C0">
              <w:rPr>
                <w:rFonts w:eastAsia="Times New Roman" w:cstheme="minorHAnsi"/>
                <w:b/>
                <w:bCs/>
                <w:color w:val="000000"/>
                <w:sz w:val="18"/>
                <w:szCs w:val="18"/>
                <w:lang w:val="en-US"/>
              </w:rPr>
              <w:t xml:space="preserve">This section </w:t>
            </w:r>
            <w:proofErr w:type="gramStart"/>
            <w:r w:rsidRPr="008131C0">
              <w:rPr>
                <w:rFonts w:eastAsia="Times New Roman" w:cstheme="minorHAnsi"/>
                <w:b/>
                <w:bCs/>
                <w:color w:val="000000"/>
                <w:sz w:val="18"/>
                <w:szCs w:val="18"/>
                <w:lang w:val="en-US"/>
              </w:rPr>
              <w:t>provides</w:t>
            </w:r>
            <w:proofErr w:type="gramEnd"/>
            <w:r w:rsidRPr="008131C0">
              <w:rPr>
                <w:rFonts w:eastAsia="Times New Roman" w:cstheme="minorHAnsi"/>
                <w:b/>
                <w:bCs/>
                <w:color w:val="000000"/>
                <w:sz w:val="18"/>
                <w:szCs w:val="18"/>
                <w:lang w:val="en-US"/>
              </w:rPr>
              <w:t xml:space="preserve"> business requirements at a high level. It is the responsibility of the appropriate vendor to elicit specific business requirements during the business requirements gathering phase of the project.</w:t>
            </w:r>
          </w:p>
        </w:tc>
        <w:tc>
          <w:tcPr>
            <w:tcW w:w="1732" w:type="dxa"/>
            <w:shd w:val="clear" w:color="000000" w:fill="DAE9F8"/>
            <w:noWrap/>
            <w:vAlign w:val="bottom"/>
            <w:hideMark/>
          </w:tcPr>
          <w:p w14:paraId="69C27E68" w14:textId="77777777" w:rsidR="008131C0" w:rsidRPr="008131C0" w:rsidRDefault="008131C0" w:rsidP="008131C0">
            <w:pPr>
              <w:spacing w:after="0" w:line="240" w:lineRule="auto"/>
              <w:rPr>
                <w:rFonts w:eastAsia="Times New Roman" w:cstheme="minorHAnsi"/>
                <w:b/>
                <w:bCs/>
                <w:color w:val="000000"/>
                <w:sz w:val="18"/>
                <w:szCs w:val="18"/>
                <w:lang w:val="en-US"/>
              </w:rPr>
            </w:pPr>
            <w:r w:rsidRPr="008131C0">
              <w:rPr>
                <w:rFonts w:eastAsia="Times New Roman" w:cstheme="minorHAnsi"/>
                <w:b/>
                <w:bCs/>
                <w:color w:val="000000"/>
                <w:sz w:val="18"/>
                <w:szCs w:val="18"/>
                <w:lang w:val="en-US"/>
              </w:rPr>
              <w:t> </w:t>
            </w:r>
          </w:p>
        </w:tc>
        <w:tc>
          <w:tcPr>
            <w:tcW w:w="2327" w:type="dxa"/>
            <w:shd w:val="clear" w:color="000000" w:fill="DAE9F8"/>
            <w:noWrap/>
            <w:vAlign w:val="bottom"/>
            <w:hideMark/>
          </w:tcPr>
          <w:p w14:paraId="657839F7" w14:textId="77777777" w:rsidR="008131C0" w:rsidRPr="008131C0" w:rsidRDefault="008131C0" w:rsidP="008131C0">
            <w:pPr>
              <w:spacing w:after="0" w:line="240" w:lineRule="auto"/>
              <w:rPr>
                <w:rFonts w:eastAsia="Times New Roman" w:cstheme="minorHAnsi"/>
                <w:b/>
                <w:bCs/>
                <w:color w:val="000000"/>
                <w:sz w:val="18"/>
                <w:szCs w:val="18"/>
                <w:lang w:val="en-US"/>
              </w:rPr>
            </w:pPr>
            <w:r w:rsidRPr="008131C0">
              <w:rPr>
                <w:rFonts w:eastAsia="Times New Roman" w:cstheme="minorHAnsi"/>
                <w:b/>
                <w:bCs/>
                <w:color w:val="000000"/>
                <w:sz w:val="18"/>
                <w:szCs w:val="18"/>
                <w:lang w:val="en-US"/>
              </w:rPr>
              <w:t> </w:t>
            </w:r>
          </w:p>
        </w:tc>
      </w:tr>
      <w:tr w:rsidR="008131C0" w:rsidRPr="008131C0" w14:paraId="326FFDBC" w14:textId="77777777" w:rsidTr="00541F57">
        <w:trPr>
          <w:trHeight w:val="206"/>
        </w:trPr>
        <w:tc>
          <w:tcPr>
            <w:tcW w:w="784" w:type="dxa"/>
            <w:noWrap/>
            <w:vAlign w:val="center"/>
            <w:hideMark/>
          </w:tcPr>
          <w:p w14:paraId="5962075F"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13</w:t>
            </w:r>
          </w:p>
        </w:tc>
        <w:tc>
          <w:tcPr>
            <w:tcW w:w="5966" w:type="dxa"/>
            <w:vAlign w:val="bottom"/>
            <w:hideMark/>
          </w:tcPr>
          <w:p w14:paraId="20C1AB78"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The Client requires to implement an Emergency System Solution including:</w:t>
            </w:r>
          </w:p>
        </w:tc>
        <w:tc>
          <w:tcPr>
            <w:tcW w:w="1732" w:type="dxa"/>
            <w:noWrap/>
            <w:vAlign w:val="bottom"/>
            <w:hideMark/>
          </w:tcPr>
          <w:p w14:paraId="40DBD9E9"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bottom"/>
            <w:hideMark/>
          </w:tcPr>
          <w:p w14:paraId="4D4385C7"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3F3C5CBC" w14:textId="77777777" w:rsidTr="00541F57">
        <w:trPr>
          <w:trHeight w:val="619"/>
        </w:trPr>
        <w:tc>
          <w:tcPr>
            <w:tcW w:w="784" w:type="dxa"/>
            <w:noWrap/>
            <w:vAlign w:val="center"/>
            <w:hideMark/>
          </w:tcPr>
          <w:p w14:paraId="0D65D1FE"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14</w:t>
            </w:r>
          </w:p>
        </w:tc>
        <w:tc>
          <w:tcPr>
            <w:tcW w:w="5966" w:type="dxa"/>
            <w:vAlign w:val="bottom"/>
            <w:hideMark/>
          </w:tcPr>
          <w:p w14:paraId="1635B5B3"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Implement an Electronic Patient Care Report (e-PCR) mobile application, supporting Android tablets, for receiving and responding to missions while filling out the patient care report.</w:t>
            </w:r>
          </w:p>
        </w:tc>
        <w:tc>
          <w:tcPr>
            <w:tcW w:w="1732" w:type="dxa"/>
            <w:noWrap/>
            <w:vAlign w:val="bottom"/>
            <w:hideMark/>
          </w:tcPr>
          <w:p w14:paraId="25883EE3"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bottom"/>
            <w:hideMark/>
          </w:tcPr>
          <w:p w14:paraId="76E16068"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3AE5DA92" w14:textId="77777777" w:rsidTr="00541F57">
        <w:trPr>
          <w:trHeight w:val="412"/>
        </w:trPr>
        <w:tc>
          <w:tcPr>
            <w:tcW w:w="784" w:type="dxa"/>
            <w:noWrap/>
            <w:vAlign w:val="bottom"/>
            <w:hideMark/>
          </w:tcPr>
          <w:p w14:paraId="09BE61F4"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15</w:t>
            </w:r>
          </w:p>
        </w:tc>
        <w:tc>
          <w:tcPr>
            <w:tcW w:w="5966" w:type="dxa"/>
            <w:vAlign w:val="bottom"/>
            <w:hideMark/>
          </w:tcPr>
          <w:p w14:paraId="67C09652"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Implementation of a web responsive CMS system to manage and monitor the devices, users, missions and PCRs.</w:t>
            </w:r>
          </w:p>
        </w:tc>
        <w:tc>
          <w:tcPr>
            <w:tcW w:w="1732" w:type="dxa"/>
            <w:noWrap/>
            <w:vAlign w:val="bottom"/>
            <w:hideMark/>
          </w:tcPr>
          <w:p w14:paraId="6253A8F8"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bottom"/>
            <w:hideMark/>
          </w:tcPr>
          <w:p w14:paraId="3E86227D"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0F2D5115" w14:textId="77777777" w:rsidTr="00541F57">
        <w:trPr>
          <w:trHeight w:val="206"/>
        </w:trPr>
        <w:tc>
          <w:tcPr>
            <w:tcW w:w="784" w:type="dxa"/>
            <w:noWrap/>
            <w:vAlign w:val="bottom"/>
            <w:hideMark/>
          </w:tcPr>
          <w:p w14:paraId="1EFEDF9E"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16</w:t>
            </w:r>
          </w:p>
        </w:tc>
        <w:tc>
          <w:tcPr>
            <w:tcW w:w="5966" w:type="dxa"/>
            <w:vAlign w:val="bottom"/>
            <w:hideMark/>
          </w:tcPr>
          <w:p w14:paraId="32D57C4D"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All modules and features should be built-in features within the solution.</w:t>
            </w:r>
          </w:p>
        </w:tc>
        <w:tc>
          <w:tcPr>
            <w:tcW w:w="1732" w:type="dxa"/>
            <w:noWrap/>
            <w:vAlign w:val="bottom"/>
            <w:hideMark/>
          </w:tcPr>
          <w:p w14:paraId="430E6FE3"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bottom"/>
            <w:hideMark/>
          </w:tcPr>
          <w:p w14:paraId="1BE7301C"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8131C0" w:rsidRPr="008131C0" w14:paraId="51B03664" w14:textId="77777777" w:rsidTr="00541F57">
        <w:trPr>
          <w:trHeight w:val="412"/>
        </w:trPr>
        <w:tc>
          <w:tcPr>
            <w:tcW w:w="784" w:type="dxa"/>
            <w:noWrap/>
            <w:vAlign w:val="bottom"/>
            <w:hideMark/>
          </w:tcPr>
          <w:p w14:paraId="588C3ADD" w14:textId="77777777" w:rsidR="008131C0" w:rsidRPr="008131C0" w:rsidRDefault="008131C0" w:rsidP="008131C0">
            <w:pPr>
              <w:spacing w:after="0" w:line="240" w:lineRule="auto"/>
              <w:jc w:val="center"/>
              <w:rPr>
                <w:rFonts w:eastAsia="Times New Roman" w:cstheme="minorHAnsi"/>
                <w:color w:val="000000"/>
                <w:sz w:val="18"/>
                <w:szCs w:val="18"/>
                <w:lang w:val="en-US"/>
              </w:rPr>
            </w:pPr>
            <w:r w:rsidRPr="008131C0">
              <w:rPr>
                <w:rFonts w:eastAsia="Times New Roman" w:cstheme="minorHAnsi"/>
                <w:color w:val="000000"/>
                <w:sz w:val="18"/>
                <w:szCs w:val="18"/>
                <w:lang w:val="en-US"/>
              </w:rPr>
              <w:t>17</w:t>
            </w:r>
          </w:p>
        </w:tc>
        <w:tc>
          <w:tcPr>
            <w:tcW w:w="5966" w:type="dxa"/>
            <w:vAlign w:val="bottom"/>
            <w:hideMark/>
          </w:tcPr>
          <w:p w14:paraId="16BB1EE2"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Integrate through APIs with the Dispatch Center’s CRM system and the Dashboard analytics system.</w:t>
            </w:r>
          </w:p>
        </w:tc>
        <w:tc>
          <w:tcPr>
            <w:tcW w:w="1732" w:type="dxa"/>
            <w:noWrap/>
            <w:vAlign w:val="bottom"/>
            <w:hideMark/>
          </w:tcPr>
          <w:p w14:paraId="239C7B7A"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c>
          <w:tcPr>
            <w:tcW w:w="2327" w:type="dxa"/>
            <w:noWrap/>
            <w:vAlign w:val="bottom"/>
            <w:hideMark/>
          </w:tcPr>
          <w:p w14:paraId="4539B3B6" w14:textId="77777777" w:rsidR="008131C0" w:rsidRPr="008131C0" w:rsidRDefault="008131C0" w:rsidP="008131C0">
            <w:pPr>
              <w:spacing w:after="0" w:line="240" w:lineRule="auto"/>
              <w:rPr>
                <w:rFonts w:eastAsia="Times New Roman" w:cstheme="minorHAnsi"/>
                <w:color w:val="000000"/>
                <w:sz w:val="18"/>
                <w:szCs w:val="18"/>
                <w:lang w:val="en-US"/>
              </w:rPr>
            </w:pPr>
            <w:r w:rsidRPr="008131C0">
              <w:rPr>
                <w:rFonts w:eastAsia="Times New Roman" w:cstheme="minorHAnsi"/>
                <w:color w:val="000000"/>
                <w:sz w:val="18"/>
                <w:szCs w:val="18"/>
                <w:lang w:val="en-US"/>
              </w:rPr>
              <w:t> </w:t>
            </w:r>
          </w:p>
        </w:tc>
      </w:tr>
      <w:tr w:rsidR="00541F57" w:rsidRPr="008131C0" w14:paraId="3FE38C85" w14:textId="77777777" w:rsidTr="00541F57">
        <w:trPr>
          <w:trHeight w:val="412"/>
        </w:trPr>
        <w:tc>
          <w:tcPr>
            <w:tcW w:w="784" w:type="dxa"/>
            <w:noWrap/>
            <w:vAlign w:val="bottom"/>
          </w:tcPr>
          <w:p w14:paraId="31E2BE09" w14:textId="2BB4BD22" w:rsidR="00541F57" w:rsidRPr="008131C0" w:rsidRDefault="00541F57" w:rsidP="008131C0">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18</w:t>
            </w:r>
          </w:p>
        </w:tc>
        <w:tc>
          <w:tcPr>
            <w:tcW w:w="5966" w:type="dxa"/>
            <w:vAlign w:val="bottom"/>
          </w:tcPr>
          <w:p w14:paraId="62A122B4" w14:textId="68CD72DE" w:rsidR="00541F57" w:rsidRPr="008131C0" w:rsidRDefault="00541F57" w:rsidP="008131C0">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BIDDER TO COMPLETE THE SOLUTION REQUIREMENTS IN THE TOR</w:t>
            </w:r>
          </w:p>
        </w:tc>
        <w:tc>
          <w:tcPr>
            <w:tcW w:w="1732" w:type="dxa"/>
            <w:noWrap/>
            <w:vAlign w:val="bottom"/>
          </w:tcPr>
          <w:p w14:paraId="5ABD3F83" w14:textId="77777777" w:rsidR="00541F57" w:rsidRPr="008131C0" w:rsidRDefault="00541F57" w:rsidP="008131C0">
            <w:pPr>
              <w:spacing w:after="0" w:line="240" w:lineRule="auto"/>
              <w:rPr>
                <w:rFonts w:eastAsia="Times New Roman" w:cstheme="minorHAnsi"/>
                <w:color w:val="000000"/>
                <w:sz w:val="18"/>
                <w:szCs w:val="18"/>
                <w:lang w:val="en-US"/>
              </w:rPr>
            </w:pPr>
          </w:p>
        </w:tc>
        <w:tc>
          <w:tcPr>
            <w:tcW w:w="2327" w:type="dxa"/>
            <w:noWrap/>
            <w:vAlign w:val="bottom"/>
          </w:tcPr>
          <w:p w14:paraId="293A628D" w14:textId="77777777" w:rsidR="00541F57" w:rsidRPr="008131C0" w:rsidRDefault="00541F57" w:rsidP="008131C0">
            <w:pPr>
              <w:spacing w:after="0" w:line="240" w:lineRule="auto"/>
              <w:rPr>
                <w:rFonts w:eastAsia="Times New Roman" w:cstheme="minorHAnsi"/>
                <w:color w:val="000000"/>
                <w:sz w:val="18"/>
                <w:szCs w:val="18"/>
                <w:lang w:val="en-US"/>
              </w:rPr>
            </w:pPr>
          </w:p>
        </w:tc>
      </w:tr>
    </w:tbl>
    <w:p w14:paraId="43754D4C" w14:textId="77777777" w:rsidR="00A22488" w:rsidRDefault="00A22488" w:rsidP="0042023F">
      <w:pPr>
        <w:autoSpaceDE w:val="0"/>
        <w:autoSpaceDN w:val="0"/>
        <w:adjustRightInd w:val="0"/>
        <w:spacing w:after="0" w:line="240" w:lineRule="auto"/>
        <w:jc w:val="both"/>
        <w:rPr>
          <w:rFonts w:cstheme="minorHAnsi"/>
          <w:lang w:val="en-US"/>
        </w:rPr>
      </w:pPr>
    </w:p>
    <w:p w14:paraId="5A5977B9" w14:textId="77777777" w:rsidR="00541F57" w:rsidRDefault="00541F57" w:rsidP="0042023F">
      <w:pPr>
        <w:autoSpaceDE w:val="0"/>
        <w:autoSpaceDN w:val="0"/>
        <w:adjustRightInd w:val="0"/>
        <w:spacing w:after="0" w:line="240" w:lineRule="auto"/>
        <w:jc w:val="both"/>
        <w:rPr>
          <w:rFonts w:cstheme="minorHAnsi"/>
          <w:lang w:val="en-US"/>
        </w:rPr>
      </w:pPr>
    </w:p>
    <w:p w14:paraId="482FAC12" w14:textId="77777777" w:rsidR="00541F57" w:rsidRDefault="00541F57" w:rsidP="0042023F">
      <w:pPr>
        <w:autoSpaceDE w:val="0"/>
        <w:autoSpaceDN w:val="0"/>
        <w:adjustRightInd w:val="0"/>
        <w:spacing w:after="0" w:line="240" w:lineRule="auto"/>
        <w:jc w:val="both"/>
        <w:rPr>
          <w:rFonts w:cstheme="minorHAnsi"/>
          <w:lang w:val="en-US"/>
        </w:rPr>
      </w:pPr>
    </w:p>
    <w:p w14:paraId="70C5707D" w14:textId="77777777" w:rsidR="00541F57" w:rsidRDefault="00541F57" w:rsidP="0042023F">
      <w:pPr>
        <w:autoSpaceDE w:val="0"/>
        <w:autoSpaceDN w:val="0"/>
        <w:adjustRightInd w:val="0"/>
        <w:spacing w:after="0" w:line="240" w:lineRule="auto"/>
        <w:jc w:val="both"/>
        <w:rPr>
          <w:rFonts w:cstheme="minorHAnsi"/>
          <w:lang w:val="en-US"/>
        </w:rPr>
      </w:pPr>
    </w:p>
    <w:p w14:paraId="05EC4835" w14:textId="77777777" w:rsidR="00541F57" w:rsidRPr="00A21838" w:rsidRDefault="00541F57" w:rsidP="0042023F">
      <w:pPr>
        <w:autoSpaceDE w:val="0"/>
        <w:autoSpaceDN w:val="0"/>
        <w:adjustRightInd w:val="0"/>
        <w:spacing w:after="0" w:line="240" w:lineRule="auto"/>
        <w:jc w:val="both"/>
        <w:rPr>
          <w:rFonts w:cstheme="minorHAnsi"/>
          <w:lang w:val="en-US"/>
        </w:rPr>
      </w:pPr>
    </w:p>
    <w:p w14:paraId="01766A98" w14:textId="1535EFC0" w:rsidR="00D36639" w:rsidRDefault="00D36639" w:rsidP="00D36639">
      <w:pPr>
        <w:autoSpaceDE w:val="0"/>
        <w:autoSpaceDN w:val="0"/>
        <w:adjustRightInd w:val="0"/>
        <w:spacing w:after="0" w:line="240" w:lineRule="auto"/>
        <w:jc w:val="both"/>
        <w:rPr>
          <w:rFonts w:cstheme="minorHAnsi"/>
          <w:b/>
          <w:bCs/>
          <w:i/>
          <w:iCs/>
          <w:u w:val="single"/>
          <w:lang w:val="en-US"/>
        </w:rPr>
      </w:pPr>
      <w:r w:rsidRPr="00A21838">
        <w:rPr>
          <w:rFonts w:cstheme="minorHAnsi"/>
          <w:lang w:val="en-US"/>
        </w:rPr>
        <w:lastRenderedPageBreak/>
        <w:t xml:space="preserve">The technical evaluation criteria are as per </w:t>
      </w:r>
      <w:r w:rsidRPr="00A21838">
        <w:rPr>
          <w:rFonts w:cstheme="minorHAnsi"/>
          <w:b/>
          <w:bCs/>
          <w:i/>
          <w:iCs/>
          <w:u w:val="single"/>
          <w:lang w:val="en-US"/>
        </w:rPr>
        <w:t xml:space="preserve">Annex </w:t>
      </w:r>
      <w:proofErr w:type="gramStart"/>
      <w:r w:rsidRPr="00A21838">
        <w:rPr>
          <w:rFonts w:cstheme="minorHAnsi"/>
          <w:b/>
          <w:bCs/>
          <w:i/>
          <w:iCs/>
          <w:u w:val="single"/>
          <w:lang w:val="en-US"/>
        </w:rPr>
        <w:t>3 :</w:t>
      </w:r>
      <w:proofErr w:type="gramEnd"/>
      <w:r w:rsidRPr="00A21838">
        <w:rPr>
          <w:rFonts w:cstheme="minorHAnsi"/>
          <w:b/>
          <w:bCs/>
          <w:i/>
          <w:iCs/>
          <w:u w:val="single"/>
          <w:lang w:val="en-US"/>
        </w:rPr>
        <w:t xml:space="preserve"> Detailed Specification</w:t>
      </w:r>
      <w:r>
        <w:rPr>
          <w:rFonts w:cstheme="minorHAnsi"/>
          <w:b/>
          <w:bCs/>
          <w:i/>
          <w:iCs/>
          <w:u w:val="single"/>
          <w:lang w:val="en-US"/>
        </w:rPr>
        <w:t xml:space="preserve"> and annexed TOR.</w:t>
      </w:r>
    </w:p>
    <w:p w14:paraId="078E54D4" w14:textId="040E6EAF" w:rsidR="00D36639" w:rsidRDefault="00D36639" w:rsidP="00D36639">
      <w:pPr>
        <w:autoSpaceDE w:val="0"/>
        <w:autoSpaceDN w:val="0"/>
        <w:adjustRightInd w:val="0"/>
        <w:spacing w:after="0" w:line="240" w:lineRule="auto"/>
        <w:jc w:val="both"/>
        <w:rPr>
          <w:rFonts w:cstheme="minorHAnsi"/>
          <w:b/>
          <w:bCs/>
        </w:rPr>
      </w:pPr>
      <w:r w:rsidRPr="00015818">
        <w:rPr>
          <w:rFonts w:cstheme="minorHAnsi"/>
          <w:b/>
          <w:bCs/>
        </w:rPr>
        <w:t xml:space="preserve">Bidders who achieve </w:t>
      </w:r>
      <w:r w:rsidRPr="004A469E">
        <w:rPr>
          <w:rFonts w:cstheme="minorHAnsi"/>
          <w:b/>
          <w:bCs/>
          <w:color w:val="EE0000"/>
        </w:rPr>
        <w:t xml:space="preserve">at least </w:t>
      </w:r>
      <w:r w:rsidR="00C52BDC">
        <w:rPr>
          <w:rFonts w:cstheme="minorHAnsi"/>
          <w:b/>
          <w:bCs/>
          <w:color w:val="EE0000"/>
        </w:rPr>
        <w:t>80</w:t>
      </w:r>
      <w:r w:rsidRPr="004A469E">
        <w:rPr>
          <w:rFonts w:cstheme="minorHAnsi"/>
          <w:b/>
          <w:bCs/>
          <w:color w:val="EE0000"/>
        </w:rPr>
        <w:t xml:space="preserve">% </w:t>
      </w:r>
      <w:r w:rsidRPr="00015818">
        <w:rPr>
          <w:rFonts w:cstheme="minorHAnsi"/>
          <w:b/>
          <w:bCs/>
        </w:rPr>
        <w:t xml:space="preserve">in the technical evaluation </w:t>
      </w:r>
      <w:r w:rsidR="00091242">
        <w:rPr>
          <w:rFonts w:cstheme="minorHAnsi"/>
          <w:b/>
          <w:bCs/>
        </w:rPr>
        <w:t xml:space="preserve">in addition to the passing of </w:t>
      </w:r>
      <w:r w:rsidRPr="00015818">
        <w:rPr>
          <w:rFonts w:cstheme="minorHAnsi"/>
          <w:b/>
          <w:bCs/>
        </w:rPr>
        <w:t>to the financial evaluation stage.</w:t>
      </w:r>
    </w:p>
    <w:p w14:paraId="260E10DD" w14:textId="77777777" w:rsidR="00C52BDC" w:rsidRDefault="00C52BDC" w:rsidP="00D36639">
      <w:pPr>
        <w:autoSpaceDE w:val="0"/>
        <w:autoSpaceDN w:val="0"/>
        <w:adjustRightInd w:val="0"/>
        <w:spacing w:after="0" w:line="240" w:lineRule="auto"/>
        <w:jc w:val="both"/>
        <w:rPr>
          <w:rFonts w:cstheme="minorHAnsi"/>
          <w:b/>
          <w:bCs/>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right w:w="49" w:type="dxa"/>
        </w:tblCellMar>
        <w:tblLook w:val="04A0" w:firstRow="1" w:lastRow="0" w:firstColumn="1" w:lastColumn="0" w:noHBand="0" w:noVBand="1"/>
      </w:tblPr>
      <w:tblGrid>
        <w:gridCol w:w="4855"/>
        <w:gridCol w:w="4595"/>
      </w:tblGrid>
      <w:tr w:rsidR="00AD41F9" w:rsidRPr="00AD41F9" w14:paraId="56213E13" w14:textId="77777777" w:rsidTr="00AD41F9">
        <w:trPr>
          <w:trHeight w:val="144"/>
          <w:tblHeader/>
        </w:trPr>
        <w:tc>
          <w:tcPr>
            <w:tcW w:w="4855" w:type="dxa"/>
            <w:vAlign w:val="bottom"/>
          </w:tcPr>
          <w:p w14:paraId="16D5FDC1" w14:textId="1173AE09" w:rsidR="00AD41F9" w:rsidRPr="00AD41F9" w:rsidRDefault="00AD41F9" w:rsidP="00AD41F9">
            <w:pPr>
              <w:spacing w:after="0" w:line="240" w:lineRule="auto"/>
              <w:jc w:val="center"/>
              <w:rPr>
                <w:rFonts w:cstheme="minorHAnsi"/>
                <w:sz w:val="20"/>
                <w:szCs w:val="20"/>
              </w:rPr>
            </w:pPr>
            <w:r w:rsidRPr="00AD41F9">
              <w:rPr>
                <w:rFonts w:cstheme="minorHAnsi"/>
                <w:b/>
                <w:sz w:val="20"/>
                <w:szCs w:val="20"/>
              </w:rPr>
              <w:t>Criteria</w:t>
            </w:r>
          </w:p>
        </w:tc>
        <w:tc>
          <w:tcPr>
            <w:tcW w:w="4595" w:type="dxa"/>
            <w:vAlign w:val="bottom"/>
          </w:tcPr>
          <w:p w14:paraId="2A749913" w14:textId="1DE84F56" w:rsidR="00AD41F9" w:rsidRPr="00AD41F9" w:rsidRDefault="00AD41F9" w:rsidP="00AD41F9">
            <w:pPr>
              <w:spacing w:after="0" w:line="240" w:lineRule="auto"/>
              <w:jc w:val="center"/>
              <w:rPr>
                <w:rFonts w:cstheme="minorHAnsi"/>
                <w:b/>
                <w:bCs/>
                <w:sz w:val="20"/>
                <w:szCs w:val="20"/>
              </w:rPr>
            </w:pPr>
            <w:r w:rsidRPr="00AD41F9">
              <w:rPr>
                <w:rFonts w:cstheme="minorHAnsi"/>
                <w:b/>
                <w:bCs/>
                <w:sz w:val="20"/>
                <w:szCs w:val="20"/>
              </w:rPr>
              <w:t>Section Weighting %</w:t>
            </w:r>
          </w:p>
        </w:tc>
      </w:tr>
      <w:tr w:rsidR="00AD41F9" w:rsidRPr="00AD41F9" w14:paraId="6505A827" w14:textId="77777777" w:rsidTr="00AD41F9">
        <w:trPr>
          <w:trHeight w:val="144"/>
        </w:trPr>
        <w:tc>
          <w:tcPr>
            <w:tcW w:w="4855" w:type="dxa"/>
            <w:shd w:val="clear" w:color="auto" w:fill="B6DDE8" w:themeFill="accent5" w:themeFillTint="66"/>
          </w:tcPr>
          <w:p w14:paraId="54574661"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Functionality </w:t>
            </w:r>
          </w:p>
        </w:tc>
        <w:tc>
          <w:tcPr>
            <w:tcW w:w="4595" w:type="dxa"/>
            <w:shd w:val="clear" w:color="auto" w:fill="B6DDE8" w:themeFill="accent5" w:themeFillTint="66"/>
          </w:tcPr>
          <w:p w14:paraId="3333CB29"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50% </w:t>
            </w:r>
          </w:p>
        </w:tc>
      </w:tr>
      <w:tr w:rsidR="00AD41F9" w:rsidRPr="00AD41F9" w14:paraId="1EDF2320" w14:textId="77777777" w:rsidTr="00AD41F9">
        <w:trPr>
          <w:trHeight w:val="144"/>
        </w:trPr>
        <w:tc>
          <w:tcPr>
            <w:tcW w:w="4855" w:type="dxa"/>
          </w:tcPr>
          <w:p w14:paraId="2510CC37"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What are the characteristics of the Software </w:t>
            </w:r>
          </w:p>
        </w:tc>
        <w:tc>
          <w:tcPr>
            <w:tcW w:w="4595" w:type="dxa"/>
            <w:vMerge w:val="restart"/>
          </w:tcPr>
          <w:p w14:paraId="107730FA"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479E95E0"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29E88EEA"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59BF66FF"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636190A1" w14:textId="77777777" w:rsidTr="00AD41F9">
        <w:trPr>
          <w:trHeight w:val="144"/>
        </w:trPr>
        <w:tc>
          <w:tcPr>
            <w:tcW w:w="4855" w:type="dxa"/>
          </w:tcPr>
          <w:p w14:paraId="715337F9"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Provide design details of the Software </w:t>
            </w:r>
          </w:p>
        </w:tc>
        <w:tc>
          <w:tcPr>
            <w:tcW w:w="4595" w:type="dxa"/>
            <w:vMerge/>
          </w:tcPr>
          <w:p w14:paraId="209731E3" w14:textId="77777777" w:rsidR="00AD41F9" w:rsidRPr="00AD41F9" w:rsidRDefault="00AD41F9" w:rsidP="00AD41F9">
            <w:pPr>
              <w:spacing w:after="0" w:line="240" w:lineRule="auto"/>
              <w:jc w:val="right"/>
              <w:rPr>
                <w:rFonts w:cstheme="minorHAnsi"/>
                <w:sz w:val="20"/>
                <w:szCs w:val="20"/>
              </w:rPr>
            </w:pPr>
          </w:p>
        </w:tc>
      </w:tr>
      <w:tr w:rsidR="00AD41F9" w:rsidRPr="00AD41F9" w14:paraId="5814FBF0" w14:textId="77777777" w:rsidTr="00AD41F9">
        <w:trPr>
          <w:trHeight w:val="144"/>
        </w:trPr>
        <w:tc>
          <w:tcPr>
            <w:tcW w:w="4855" w:type="dxa"/>
          </w:tcPr>
          <w:p w14:paraId="30F64F0D"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Provide detail of the functionality of the Software </w:t>
            </w:r>
          </w:p>
        </w:tc>
        <w:tc>
          <w:tcPr>
            <w:tcW w:w="4595" w:type="dxa"/>
            <w:vMerge/>
          </w:tcPr>
          <w:p w14:paraId="74436209" w14:textId="77777777" w:rsidR="00AD41F9" w:rsidRPr="00AD41F9" w:rsidRDefault="00AD41F9" w:rsidP="00AD41F9">
            <w:pPr>
              <w:spacing w:after="0" w:line="240" w:lineRule="auto"/>
              <w:jc w:val="right"/>
              <w:rPr>
                <w:rFonts w:cstheme="minorHAnsi"/>
                <w:sz w:val="20"/>
                <w:szCs w:val="20"/>
              </w:rPr>
            </w:pPr>
          </w:p>
        </w:tc>
      </w:tr>
      <w:tr w:rsidR="00AD41F9" w:rsidRPr="00AD41F9" w14:paraId="3A36EBE0" w14:textId="77777777" w:rsidTr="00AD41F9">
        <w:trPr>
          <w:trHeight w:val="144"/>
        </w:trPr>
        <w:tc>
          <w:tcPr>
            <w:tcW w:w="4855" w:type="dxa"/>
          </w:tcPr>
          <w:p w14:paraId="38120C04"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Mobility  </w:t>
            </w:r>
          </w:p>
        </w:tc>
        <w:tc>
          <w:tcPr>
            <w:tcW w:w="4595" w:type="dxa"/>
            <w:vMerge/>
          </w:tcPr>
          <w:p w14:paraId="2763C986" w14:textId="77777777" w:rsidR="00AD41F9" w:rsidRPr="00AD41F9" w:rsidRDefault="00AD41F9" w:rsidP="00AD41F9">
            <w:pPr>
              <w:spacing w:after="0" w:line="240" w:lineRule="auto"/>
              <w:jc w:val="right"/>
              <w:rPr>
                <w:rFonts w:cstheme="minorHAnsi"/>
                <w:sz w:val="20"/>
                <w:szCs w:val="20"/>
              </w:rPr>
            </w:pPr>
          </w:p>
        </w:tc>
      </w:tr>
      <w:tr w:rsidR="00AD41F9" w:rsidRPr="00AD41F9" w14:paraId="09B6F085" w14:textId="77777777" w:rsidTr="00AD41F9">
        <w:trPr>
          <w:trHeight w:val="144"/>
        </w:trPr>
        <w:tc>
          <w:tcPr>
            <w:tcW w:w="4855" w:type="dxa"/>
            <w:shd w:val="clear" w:color="auto" w:fill="B6DDE8" w:themeFill="accent5" w:themeFillTint="66"/>
          </w:tcPr>
          <w:p w14:paraId="6803D42D"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Methodology </w:t>
            </w:r>
          </w:p>
        </w:tc>
        <w:tc>
          <w:tcPr>
            <w:tcW w:w="4595" w:type="dxa"/>
            <w:shd w:val="clear" w:color="auto" w:fill="B6DDE8" w:themeFill="accent5" w:themeFillTint="66"/>
          </w:tcPr>
          <w:p w14:paraId="75EFC073"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10% </w:t>
            </w:r>
          </w:p>
        </w:tc>
      </w:tr>
      <w:tr w:rsidR="00AD41F9" w:rsidRPr="00AD41F9" w14:paraId="4371EC91" w14:textId="77777777" w:rsidTr="00AD41F9">
        <w:trPr>
          <w:trHeight w:val="144"/>
        </w:trPr>
        <w:tc>
          <w:tcPr>
            <w:tcW w:w="4855" w:type="dxa"/>
          </w:tcPr>
          <w:p w14:paraId="4A35D1CB"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Describe the system Implementation Methodology</w:t>
            </w:r>
          </w:p>
        </w:tc>
        <w:tc>
          <w:tcPr>
            <w:tcW w:w="4595" w:type="dxa"/>
            <w:vMerge w:val="restart"/>
          </w:tcPr>
          <w:p w14:paraId="0DBE2A6C"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536E2442"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68007511" w14:textId="77777777" w:rsidTr="00AD41F9">
        <w:trPr>
          <w:trHeight w:val="144"/>
        </w:trPr>
        <w:tc>
          <w:tcPr>
            <w:tcW w:w="4855" w:type="dxa"/>
          </w:tcPr>
          <w:p w14:paraId="048D426F"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What processes will be adopted  </w:t>
            </w:r>
          </w:p>
        </w:tc>
        <w:tc>
          <w:tcPr>
            <w:tcW w:w="4595" w:type="dxa"/>
            <w:vMerge/>
          </w:tcPr>
          <w:p w14:paraId="3A3A41F0" w14:textId="77777777" w:rsidR="00AD41F9" w:rsidRPr="00AD41F9" w:rsidRDefault="00AD41F9" w:rsidP="00AD41F9">
            <w:pPr>
              <w:spacing w:after="0" w:line="240" w:lineRule="auto"/>
              <w:jc w:val="right"/>
              <w:rPr>
                <w:rFonts w:cstheme="minorHAnsi"/>
                <w:sz w:val="20"/>
                <w:szCs w:val="20"/>
              </w:rPr>
            </w:pPr>
          </w:p>
        </w:tc>
      </w:tr>
      <w:tr w:rsidR="00AD41F9" w:rsidRPr="00AD41F9" w14:paraId="6DEF4CDF" w14:textId="77777777" w:rsidTr="00AD41F9">
        <w:trPr>
          <w:trHeight w:val="144"/>
        </w:trPr>
        <w:tc>
          <w:tcPr>
            <w:tcW w:w="4855" w:type="dxa"/>
            <w:shd w:val="clear" w:color="auto" w:fill="B6DDE8" w:themeFill="accent5" w:themeFillTint="66"/>
          </w:tcPr>
          <w:p w14:paraId="7498080E"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Innovation </w:t>
            </w:r>
          </w:p>
        </w:tc>
        <w:tc>
          <w:tcPr>
            <w:tcW w:w="4595" w:type="dxa"/>
            <w:shd w:val="clear" w:color="auto" w:fill="B6DDE8" w:themeFill="accent5" w:themeFillTint="66"/>
          </w:tcPr>
          <w:p w14:paraId="0779FD19"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5% </w:t>
            </w:r>
          </w:p>
        </w:tc>
      </w:tr>
      <w:tr w:rsidR="00AD41F9" w:rsidRPr="00AD41F9" w14:paraId="195C86E8" w14:textId="77777777" w:rsidTr="00AD41F9">
        <w:trPr>
          <w:trHeight w:val="144"/>
        </w:trPr>
        <w:tc>
          <w:tcPr>
            <w:tcW w:w="4855" w:type="dxa"/>
          </w:tcPr>
          <w:p w14:paraId="1064E7F9"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 Additional features </w:t>
            </w:r>
          </w:p>
        </w:tc>
        <w:tc>
          <w:tcPr>
            <w:tcW w:w="4595" w:type="dxa"/>
            <w:vMerge w:val="restart"/>
          </w:tcPr>
          <w:p w14:paraId="0A23F0BC"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1FD71565"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031FF206" w14:textId="77777777" w:rsidTr="00AD41F9">
        <w:trPr>
          <w:trHeight w:val="144"/>
        </w:trPr>
        <w:tc>
          <w:tcPr>
            <w:tcW w:w="4855" w:type="dxa"/>
          </w:tcPr>
          <w:p w14:paraId="0DB02323"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 Integrations with different platforms </w:t>
            </w:r>
          </w:p>
        </w:tc>
        <w:tc>
          <w:tcPr>
            <w:tcW w:w="4595" w:type="dxa"/>
            <w:vMerge/>
          </w:tcPr>
          <w:p w14:paraId="3940B9AD" w14:textId="77777777" w:rsidR="00AD41F9" w:rsidRPr="00AD41F9" w:rsidRDefault="00AD41F9" w:rsidP="00AD41F9">
            <w:pPr>
              <w:spacing w:after="0" w:line="240" w:lineRule="auto"/>
              <w:jc w:val="right"/>
              <w:rPr>
                <w:rFonts w:cstheme="minorHAnsi"/>
                <w:sz w:val="20"/>
                <w:szCs w:val="20"/>
              </w:rPr>
            </w:pPr>
          </w:p>
        </w:tc>
      </w:tr>
      <w:tr w:rsidR="00AD41F9" w:rsidRPr="00AD41F9" w14:paraId="6B0A52F5" w14:textId="77777777" w:rsidTr="00AD41F9">
        <w:trPr>
          <w:trHeight w:val="144"/>
        </w:trPr>
        <w:tc>
          <w:tcPr>
            <w:tcW w:w="4855" w:type="dxa"/>
            <w:shd w:val="clear" w:color="auto" w:fill="B6DDE8" w:themeFill="accent5" w:themeFillTint="66"/>
          </w:tcPr>
          <w:p w14:paraId="7B94914A"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Training  </w:t>
            </w:r>
          </w:p>
        </w:tc>
        <w:tc>
          <w:tcPr>
            <w:tcW w:w="4595" w:type="dxa"/>
            <w:shd w:val="clear" w:color="auto" w:fill="B6DDE8" w:themeFill="accent5" w:themeFillTint="66"/>
          </w:tcPr>
          <w:p w14:paraId="0D96BE2C"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5% </w:t>
            </w:r>
          </w:p>
        </w:tc>
      </w:tr>
      <w:tr w:rsidR="00AD41F9" w:rsidRPr="00AD41F9" w14:paraId="0564F133" w14:textId="77777777" w:rsidTr="00AD41F9">
        <w:trPr>
          <w:trHeight w:val="144"/>
        </w:trPr>
        <w:tc>
          <w:tcPr>
            <w:tcW w:w="4855" w:type="dxa"/>
          </w:tcPr>
          <w:p w14:paraId="061D6AF5"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Training approach</w:t>
            </w:r>
          </w:p>
        </w:tc>
        <w:tc>
          <w:tcPr>
            <w:tcW w:w="4595" w:type="dxa"/>
            <w:vMerge w:val="restart"/>
          </w:tcPr>
          <w:p w14:paraId="319CE67D"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6B4306B3"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4E38B840" w14:textId="77777777" w:rsidTr="00AD41F9">
        <w:trPr>
          <w:trHeight w:val="144"/>
        </w:trPr>
        <w:tc>
          <w:tcPr>
            <w:tcW w:w="4855" w:type="dxa"/>
          </w:tcPr>
          <w:p w14:paraId="0C85E1DC"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Training material </w:t>
            </w:r>
          </w:p>
        </w:tc>
        <w:tc>
          <w:tcPr>
            <w:tcW w:w="4595" w:type="dxa"/>
            <w:vMerge/>
          </w:tcPr>
          <w:p w14:paraId="07366E78" w14:textId="77777777" w:rsidR="00AD41F9" w:rsidRPr="00AD41F9" w:rsidRDefault="00AD41F9" w:rsidP="00AD41F9">
            <w:pPr>
              <w:spacing w:after="0" w:line="240" w:lineRule="auto"/>
              <w:jc w:val="right"/>
              <w:rPr>
                <w:rFonts w:cstheme="minorHAnsi"/>
                <w:sz w:val="20"/>
                <w:szCs w:val="20"/>
              </w:rPr>
            </w:pPr>
          </w:p>
        </w:tc>
      </w:tr>
      <w:tr w:rsidR="00AD41F9" w:rsidRPr="00AD41F9" w14:paraId="5064B8EF" w14:textId="77777777" w:rsidTr="00AD41F9">
        <w:trPr>
          <w:trHeight w:val="144"/>
        </w:trPr>
        <w:tc>
          <w:tcPr>
            <w:tcW w:w="4855" w:type="dxa"/>
            <w:shd w:val="clear" w:color="auto" w:fill="B6DDE8" w:themeFill="accent5" w:themeFillTint="66"/>
          </w:tcPr>
          <w:p w14:paraId="7101541A"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After sales assistance and support </w:t>
            </w:r>
          </w:p>
        </w:tc>
        <w:tc>
          <w:tcPr>
            <w:tcW w:w="4595" w:type="dxa"/>
            <w:shd w:val="clear" w:color="auto" w:fill="B6DDE8" w:themeFill="accent5" w:themeFillTint="66"/>
          </w:tcPr>
          <w:p w14:paraId="5B045604"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10% </w:t>
            </w:r>
          </w:p>
        </w:tc>
      </w:tr>
      <w:tr w:rsidR="00AD41F9" w:rsidRPr="00AD41F9" w14:paraId="07E03EC0" w14:textId="77777777" w:rsidTr="00AD41F9">
        <w:trPr>
          <w:trHeight w:val="144"/>
        </w:trPr>
        <w:tc>
          <w:tcPr>
            <w:tcW w:w="4855" w:type="dxa"/>
          </w:tcPr>
          <w:p w14:paraId="43178EBA"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Support agreement</w:t>
            </w:r>
          </w:p>
        </w:tc>
        <w:tc>
          <w:tcPr>
            <w:tcW w:w="4595" w:type="dxa"/>
          </w:tcPr>
          <w:p w14:paraId="79CB509B" w14:textId="77777777" w:rsidR="00AD41F9" w:rsidRPr="00AD41F9" w:rsidRDefault="00AD41F9" w:rsidP="00AD41F9">
            <w:pPr>
              <w:spacing w:after="0" w:line="240" w:lineRule="auto"/>
              <w:jc w:val="right"/>
              <w:rPr>
                <w:rFonts w:cstheme="minorHAnsi"/>
                <w:sz w:val="20"/>
                <w:szCs w:val="20"/>
              </w:rPr>
            </w:pPr>
          </w:p>
        </w:tc>
      </w:tr>
      <w:tr w:rsidR="00AD41F9" w:rsidRPr="00AD41F9" w14:paraId="1C7DAC1C" w14:textId="77777777" w:rsidTr="00AD41F9">
        <w:trPr>
          <w:trHeight w:val="144"/>
        </w:trPr>
        <w:tc>
          <w:tcPr>
            <w:tcW w:w="4855" w:type="dxa"/>
          </w:tcPr>
          <w:p w14:paraId="40D409B7"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Support procedures</w:t>
            </w:r>
          </w:p>
        </w:tc>
        <w:tc>
          <w:tcPr>
            <w:tcW w:w="4595" w:type="dxa"/>
          </w:tcPr>
          <w:p w14:paraId="218593A4"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5C666C9A" w14:textId="77777777" w:rsidTr="00AD41F9">
        <w:trPr>
          <w:trHeight w:val="144"/>
        </w:trPr>
        <w:tc>
          <w:tcPr>
            <w:tcW w:w="4855" w:type="dxa"/>
            <w:shd w:val="clear" w:color="auto" w:fill="B6DDE8" w:themeFill="accent5" w:themeFillTint="66"/>
          </w:tcPr>
          <w:p w14:paraId="1C40641F"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Security </w:t>
            </w:r>
          </w:p>
        </w:tc>
        <w:tc>
          <w:tcPr>
            <w:tcW w:w="4595" w:type="dxa"/>
            <w:shd w:val="clear" w:color="auto" w:fill="B6DDE8" w:themeFill="accent5" w:themeFillTint="66"/>
          </w:tcPr>
          <w:p w14:paraId="6D4DCAB5"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10% </w:t>
            </w:r>
          </w:p>
        </w:tc>
      </w:tr>
      <w:tr w:rsidR="00AD41F9" w:rsidRPr="00AD41F9" w14:paraId="033BB762" w14:textId="77777777" w:rsidTr="00AD41F9">
        <w:trPr>
          <w:trHeight w:val="144"/>
        </w:trPr>
        <w:tc>
          <w:tcPr>
            <w:tcW w:w="4855" w:type="dxa"/>
          </w:tcPr>
          <w:p w14:paraId="60612AAF"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 Access list  </w:t>
            </w:r>
          </w:p>
        </w:tc>
        <w:tc>
          <w:tcPr>
            <w:tcW w:w="4595" w:type="dxa"/>
          </w:tcPr>
          <w:p w14:paraId="0AAF5425"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466879F8" w14:textId="77777777" w:rsidTr="00AD41F9">
        <w:trPr>
          <w:trHeight w:val="144"/>
        </w:trPr>
        <w:tc>
          <w:tcPr>
            <w:tcW w:w="4855" w:type="dxa"/>
          </w:tcPr>
          <w:p w14:paraId="24F6D6F6"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 Different layers of security  </w:t>
            </w:r>
          </w:p>
        </w:tc>
        <w:tc>
          <w:tcPr>
            <w:tcW w:w="4595" w:type="dxa"/>
          </w:tcPr>
          <w:p w14:paraId="2CA1633A"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7D2797A7" w14:textId="77777777" w:rsidTr="00AD41F9">
        <w:trPr>
          <w:trHeight w:val="144"/>
        </w:trPr>
        <w:tc>
          <w:tcPr>
            <w:tcW w:w="4855" w:type="dxa"/>
            <w:shd w:val="clear" w:color="auto" w:fill="B6DDE8" w:themeFill="accent5" w:themeFillTint="66"/>
          </w:tcPr>
          <w:p w14:paraId="311BE707"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Bidder</w:t>
            </w:r>
          </w:p>
        </w:tc>
        <w:tc>
          <w:tcPr>
            <w:tcW w:w="4595" w:type="dxa"/>
            <w:shd w:val="clear" w:color="auto" w:fill="B6DDE8" w:themeFill="accent5" w:themeFillTint="66"/>
          </w:tcPr>
          <w:p w14:paraId="167AB968"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10% </w:t>
            </w:r>
          </w:p>
        </w:tc>
      </w:tr>
      <w:tr w:rsidR="00AD41F9" w:rsidRPr="00AD41F9" w14:paraId="290D5793" w14:textId="77777777" w:rsidTr="00AD41F9">
        <w:trPr>
          <w:trHeight w:val="144"/>
        </w:trPr>
        <w:tc>
          <w:tcPr>
            <w:tcW w:w="4855" w:type="dxa"/>
          </w:tcPr>
          <w:p w14:paraId="72F1EFCE" w14:textId="77777777" w:rsidR="00AD41F9" w:rsidRPr="00AD41F9" w:rsidRDefault="00AD41F9" w:rsidP="00AD41F9">
            <w:pPr>
              <w:spacing w:after="0" w:line="240" w:lineRule="auto"/>
              <w:ind w:left="720"/>
              <w:rPr>
                <w:rFonts w:cstheme="minorHAnsi"/>
                <w:b/>
                <w:sz w:val="20"/>
                <w:szCs w:val="20"/>
              </w:rPr>
            </w:pPr>
            <w:r w:rsidRPr="00AD41F9">
              <w:rPr>
                <w:rFonts w:cstheme="minorHAnsi"/>
                <w:sz w:val="20"/>
                <w:szCs w:val="20"/>
              </w:rPr>
              <w:t>Company Size</w:t>
            </w:r>
          </w:p>
        </w:tc>
        <w:tc>
          <w:tcPr>
            <w:tcW w:w="4595" w:type="dxa"/>
            <w:vMerge w:val="restart"/>
          </w:tcPr>
          <w:p w14:paraId="4689A1B4" w14:textId="77777777" w:rsidR="00AD41F9" w:rsidRPr="00AD41F9" w:rsidRDefault="00AD41F9" w:rsidP="00AD41F9">
            <w:pPr>
              <w:spacing w:after="0" w:line="240" w:lineRule="auto"/>
              <w:jc w:val="right"/>
              <w:rPr>
                <w:rFonts w:cstheme="minorHAnsi"/>
                <w:sz w:val="20"/>
                <w:szCs w:val="20"/>
              </w:rPr>
            </w:pPr>
          </w:p>
        </w:tc>
      </w:tr>
      <w:tr w:rsidR="00AD41F9" w:rsidRPr="00AD41F9" w14:paraId="31F598B3" w14:textId="77777777" w:rsidTr="00AD41F9">
        <w:trPr>
          <w:trHeight w:val="144"/>
        </w:trPr>
        <w:tc>
          <w:tcPr>
            <w:tcW w:w="4855" w:type="dxa"/>
          </w:tcPr>
          <w:p w14:paraId="7FE56C6E" w14:textId="77777777" w:rsidR="00AD41F9" w:rsidRPr="00AD41F9" w:rsidRDefault="00AD41F9" w:rsidP="00AD41F9">
            <w:pPr>
              <w:spacing w:after="0" w:line="240" w:lineRule="auto"/>
              <w:ind w:left="720"/>
              <w:rPr>
                <w:rFonts w:cstheme="minorHAnsi"/>
                <w:b/>
                <w:sz w:val="20"/>
                <w:szCs w:val="20"/>
              </w:rPr>
            </w:pPr>
            <w:r w:rsidRPr="00AD41F9">
              <w:rPr>
                <w:rFonts w:cstheme="minorHAnsi"/>
                <w:sz w:val="20"/>
                <w:szCs w:val="20"/>
              </w:rPr>
              <w:t>References</w:t>
            </w:r>
          </w:p>
        </w:tc>
        <w:tc>
          <w:tcPr>
            <w:tcW w:w="4595" w:type="dxa"/>
            <w:vMerge/>
          </w:tcPr>
          <w:p w14:paraId="1F7DA37C" w14:textId="77777777" w:rsidR="00AD41F9" w:rsidRPr="00AD41F9" w:rsidRDefault="00AD41F9" w:rsidP="00AD41F9">
            <w:pPr>
              <w:spacing w:after="0" w:line="240" w:lineRule="auto"/>
              <w:jc w:val="right"/>
              <w:rPr>
                <w:rFonts w:cstheme="minorHAnsi"/>
                <w:sz w:val="20"/>
                <w:szCs w:val="20"/>
              </w:rPr>
            </w:pPr>
          </w:p>
        </w:tc>
      </w:tr>
      <w:tr w:rsidR="00AD41F9" w:rsidRPr="00AD41F9" w14:paraId="5334AD59" w14:textId="77777777" w:rsidTr="00AD41F9">
        <w:trPr>
          <w:trHeight w:val="144"/>
        </w:trPr>
        <w:tc>
          <w:tcPr>
            <w:tcW w:w="4855" w:type="dxa"/>
          </w:tcPr>
          <w:p w14:paraId="35EFDDE6" w14:textId="77777777" w:rsidR="00AD41F9" w:rsidRPr="00AD41F9" w:rsidRDefault="00AD41F9" w:rsidP="00AD41F9">
            <w:pPr>
              <w:spacing w:after="0" w:line="240" w:lineRule="auto"/>
              <w:ind w:left="720"/>
              <w:rPr>
                <w:rFonts w:cstheme="minorHAnsi"/>
                <w:b/>
                <w:sz w:val="20"/>
                <w:szCs w:val="20"/>
              </w:rPr>
            </w:pPr>
            <w:r w:rsidRPr="00AD41F9">
              <w:rPr>
                <w:rFonts w:cstheme="minorHAnsi"/>
                <w:sz w:val="20"/>
                <w:szCs w:val="20"/>
              </w:rPr>
              <w:t>Geographical Existence</w:t>
            </w:r>
          </w:p>
        </w:tc>
        <w:tc>
          <w:tcPr>
            <w:tcW w:w="4595" w:type="dxa"/>
            <w:vMerge/>
          </w:tcPr>
          <w:p w14:paraId="4E209659" w14:textId="77777777" w:rsidR="00AD41F9" w:rsidRPr="00AD41F9" w:rsidRDefault="00AD41F9" w:rsidP="00AD41F9">
            <w:pPr>
              <w:spacing w:after="0" w:line="240" w:lineRule="auto"/>
              <w:jc w:val="right"/>
              <w:rPr>
                <w:rFonts w:cstheme="minorHAnsi"/>
                <w:sz w:val="20"/>
                <w:szCs w:val="20"/>
              </w:rPr>
            </w:pPr>
          </w:p>
        </w:tc>
      </w:tr>
    </w:tbl>
    <w:p w14:paraId="39B5DF70" w14:textId="77777777" w:rsidR="00541F57" w:rsidRDefault="00541F57" w:rsidP="00541F57">
      <w:pPr>
        <w:pStyle w:val="Heading2"/>
        <w:spacing w:line="240" w:lineRule="auto"/>
        <w:ind w:left="360"/>
        <w:rPr>
          <w:rFonts w:asciiTheme="minorHAnsi" w:hAnsiTheme="minorHAnsi" w:cstheme="minorHAnsi"/>
          <w:b w:val="0"/>
          <w:bCs w:val="0"/>
          <w:i/>
          <w:iCs/>
          <w:color w:val="C00000"/>
          <w:sz w:val="22"/>
          <w:szCs w:val="22"/>
          <w:u w:val="single"/>
        </w:rPr>
      </w:pPr>
    </w:p>
    <w:p w14:paraId="50A5261F" w14:textId="77777777" w:rsidR="00541F57" w:rsidRDefault="00541F57" w:rsidP="00541F57"/>
    <w:p w14:paraId="21D3920F" w14:textId="77777777" w:rsidR="00541F57" w:rsidRDefault="00541F57" w:rsidP="00541F57"/>
    <w:p w14:paraId="5AE45A11" w14:textId="77777777" w:rsidR="00541F57" w:rsidRDefault="00541F57" w:rsidP="00541F57"/>
    <w:p w14:paraId="5294827A" w14:textId="77777777" w:rsidR="00541F57" w:rsidRDefault="00541F57" w:rsidP="00541F57"/>
    <w:p w14:paraId="0F9A64B2" w14:textId="77777777" w:rsidR="00541F57" w:rsidRDefault="00541F57" w:rsidP="00541F57"/>
    <w:p w14:paraId="29AC6F3E" w14:textId="77777777" w:rsidR="00541F57" w:rsidRDefault="00541F57" w:rsidP="00541F57"/>
    <w:p w14:paraId="0F89C25A" w14:textId="77777777" w:rsidR="00541F57" w:rsidRDefault="00541F57" w:rsidP="00541F57"/>
    <w:p w14:paraId="7EC36D01" w14:textId="77777777" w:rsidR="00541F57" w:rsidRDefault="00541F57" w:rsidP="00541F57"/>
    <w:p w14:paraId="01C22EAB" w14:textId="77777777" w:rsidR="00541F57" w:rsidRPr="00541F57" w:rsidRDefault="00541F57" w:rsidP="00541F57"/>
    <w:p w14:paraId="47D9073F" w14:textId="5345D980"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lastRenderedPageBreak/>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091242">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091242">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14721419"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DE46F2">
              <w:rPr>
                <w:rFonts w:cstheme="minorHAnsi"/>
              </w:rPr>
              <w:t>4</w:t>
            </w:r>
            <w:r w:rsidR="000077C7">
              <w:rPr>
                <w:rFonts w:cstheme="minorHAnsi"/>
              </w:rPr>
              <w:t>7</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091242">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091242">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091242">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091242">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091242">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091242">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091242">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091242">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091242">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091242">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091242">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091242">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01CC644"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864436">
              <w:rPr>
                <w:rFonts w:cstheme="minorHAnsi"/>
                <w:noProof/>
              </w:rPr>
              <w:t>20</w:t>
            </w:r>
            <w:r w:rsidR="003D510D" w:rsidRPr="00A21838">
              <w:rPr>
                <w:rFonts w:cstheme="minorHAnsi"/>
                <w:noProof/>
              </w:rPr>
              <w:t xml:space="preserve">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864436">
        <w:trPr>
          <w:trHeight w:val="46"/>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091242">
        <w:trPr>
          <w:trHeight w:val="323"/>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5700A080" w:rsidR="003D510D" w:rsidRPr="00A21838" w:rsidRDefault="00541F57" w:rsidP="00357A26">
            <w:pPr>
              <w:keepNext/>
              <w:keepLines/>
              <w:spacing w:after="0" w:line="240" w:lineRule="auto"/>
              <w:jc w:val="both"/>
              <w:rPr>
                <w:rFonts w:cstheme="minorHAnsi"/>
                <w:b/>
              </w:rPr>
            </w:pPr>
            <w:r>
              <w:rPr>
                <w:rFonts w:cstheme="minorHAnsi" w:hint="cs"/>
                <w:rtl/>
              </w:rPr>
              <w:t xml:space="preserve">13 </w:t>
            </w:r>
            <w:r>
              <w:rPr>
                <w:rFonts w:cstheme="minorHAnsi"/>
              </w:rPr>
              <w:t xml:space="preserve"> </w:t>
            </w:r>
            <w:r w:rsidR="00DE46F2">
              <w:rPr>
                <w:rFonts w:cstheme="minorHAnsi"/>
              </w:rPr>
              <w:t>August</w:t>
            </w:r>
            <w:r w:rsidR="0011098A">
              <w:rPr>
                <w:rFonts w:cstheme="minorHAnsi"/>
              </w:rPr>
              <w:t>,</w:t>
            </w:r>
            <w:r w:rsidR="00793DAF">
              <w:rPr>
                <w:rFonts w:cstheme="minorHAnsi"/>
              </w:rPr>
              <w:t xml:space="preserve"> 2025</w:t>
            </w:r>
          </w:p>
        </w:tc>
      </w:tr>
      <w:tr w:rsidR="00DE46F2" w:rsidRPr="00A21838" w14:paraId="386B3E8F" w14:textId="77777777" w:rsidTr="00DE46F2">
        <w:trPr>
          <w:gridAfter w:val="2"/>
          <w:wAfter w:w="8285" w:type="dxa"/>
          <w:trHeight w:val="269"/>
        </w:trPr>
        <w:tc>
          <w:tcPr>
            <w:tcW w:w="2520" w:type="dxa"/>
            <w:vMerge/>
            <w:tcBorders>
              <w:top w:val="nil"/>
              <w:left w:val="single" w:sz="4" w:space="0" w:color="auto"/>
              <w:right w:val="single" w:sz="4" w:space="0" w:color="auto"/>
            </w:tcBorders>
            <w:vAlign w:val="center"/>
          </w:tcPr>
          <w:p w14:paraId="434CD7A0" w14:textId="77777777" w:rsidR="00DE46F2" w:rsidRPr="00A21838" w:rsidRDefault="00DE46F2" w:rsidP="00357A26">
            <w:pPr>
              <w:keepNext/>
              <w:keepLines/>
              <w:spacing w:after="0" w:line="240" w:lineRule="auto"/>
              <w:rPr>
                <w:rFonts w:cstheme="minorHAnsi"/>
                <w:b/>
                <w:bCs/>
              </w:rPr>
            </w:pPr>
          </w:p>
        </w:tc>
      </w:tr>
      <w:tr w:rsidR="003D510D" w:rsidRPr="00A21838" w14:paraId="04738B86" w14:textId="77777777" w:rsidTr="00864436">
        <w:trPr>
          <w:trHeight w:val="215"/>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7D8D8914" w:rsidR="003D510D" w:rsidRPr="00A21838" w:rsidRDefault="00541F57" w:rsidP="00357A26">
            <w:pPr>
              <w:keepNext/>
              <w:keepLines/>
              <w:spacing w:after="0" w:line="240" w:lineRule="auto"/>
              <w:rPr>
                <w:rFonts w:cstheme="minorHAnsi"/>
              </w:rPr>
            </w:pPr>
            <w:r>
              <w:rPr>
                <w:rFonts w:cstheme="minorHAnsi" w:hint="cs"/>
                <w:rtl/>
              </w:rPr>
              <w:t>12</w:t>
            </w:r>
            <w:r>
              <w:rPr>
                <w:rFonts w:cstheme="minorHAnsi"/>
              </w:rPr>
              <w:t xml:space="preserve"> September</w:t>
            </w:r>
            <w:r w:rsidR="003D510D" w:rsidRPr="00A21838">
              <w:rPr>
                <w:rFonts w:cstheme="minorHAnsi"/>
              </w:rPr>
              <w:t xml:space="preserve"> 2025 / Time:</w:t>
            </w:r>
            <w:r w:rsidR="00D36639">
              <w:rPr>
                <w:rFonts w:cstheme="minorHAnsi"/>
              </w:rPr>
              <w:t xml:space="preserve"> </w:t>
            </w:r>
            <w:r w:rsidR="00141A4E" w:rsidRPr="009C0D01">
              <w:rPr>
                <w:rFonts w:cstheme="minorHAnsi"/>
                <w:color w:val="000000" w:themeColor="text1"/>
              </w:rPr>
              <w:t>2</w:t>
            </w:r>
            <w:r w:rsidR="003D510D" w:rsidRPr="009C0D01">
              <w:rPr>
                <w:rFonts w:cstheme="minorHAnsi"/>
                <w:color w:val="000000" w:themeColor="text1"/>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1A58928C" w:rsidR="003D510D" w:rsidRPr="00A21838" w:rsidRDefault="00DE46F2" w:rsidP="00357A26">
            <w:pPr>
              <w:keepNext/>
              <w:keepLines/>
              <w:spacing w:after="0" w:line="240" w:lineRule="auto"/>
              <w:jc w:val="both"/>
              <w:rPr>
                <w:rFonts w:cstheme="minorHAnsi"/>
              </w:rPr>
            </w:pPr>
            <w:r>
              <w:rPr>
                <w:rFonts w:cstheme="minorHAnsi"/>
              </w:rPr>
              <w:t>2</w:t>
            </w:r>
            <w:r w:rsidR="00541F57">
              <w:rPr>
                <w:rFonts w:cstheme="minorHAnsi"/>
              </w:rPr>
              <w:t>9</w:t>
            </w:r>
            <w:r w:rsidR="00D36639">
              <w:rPr>
                <w:rFonts w:cstheme="minorHAnsi"/>
              </w:rPr>
              <w:t xml:space="preserve"> August</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2E358A1F" w:rsidR="003D510D" w:rsidRPr="009C0D01" w:rsidRDefault="003D510D" w:rsidP="00357A26">
            <w:pPr>
              <w:keepNext/>
              <w:keepLines/>
              <w:spacing w:after="0" w:line="240" w:lineRule="auto"/>
              <w:jc w:val="both"/>
              <w:rPr>
                <w:rFonts w:cstheme="minorHAnsi"/>
                <w:b/>
                <w:bCs/>
                <w:color w:val="000000" w:themeColor="text1"/>
              </w:rPr>
            </w:pPr>
            <w:r w:rsidRPr="009C0D01">
              <w:rPr>
                <w:rFonts w:cstheme="minorHAnsi"/>
                <w:b/>
                <w:bCs/>
                <w:color w:val="FF0000"/>
                <w:highlight w:val="yellow"/>
              </w:rPr>
              <w:t>ITB-2025-0</w:t>
            </w:r>
            <w:r w:rsidR="00DE46F2">
              <w:rPr>
                <w:rFonts w:cstheme="minorHAnsi"/>
                <w:b/>
                <w:bCs/>
                <w:color w:val="FF0000"/>
                <w:highlight w:val="yellow"/>
              </w:rPr>
              <w:t>4</w:t>
            </w:r>
            <w:r w:rsidR="00541F57">
              <w:rPr>
                <w:rFonts w:cstheme="minorHAnsi"/>
                <w:b/>
                <w:bCs/>
                <w:color w:val="FF0000"/>
                <w:highlight w:val="yellow"/>
              </w:rPr>
              <w:t>7</w:t>
            </w:r>
            <w:r w:rsidR="00D36639" w:rsidRPr="009C0D01">
              <w:rPr>
                <w:rFonts w:cstheme="minorHAnsi"/>
                <w:b/>
                <w:bCs/>
                <w:color w:val="FF0000"/>
                <w:highlight w:val="yellow"/>
              </w:rPr>
              <w:t xml:space="preserve"> </w:t>
            </w:r>
            <w:r w:rsidRPr="009C0D01">
              <w:rPr>
                <w:rFonts w:cstheme="minorHAnsi"/>
                <w:color w:val="000000" w:themeColor="text1"/>
                <w:highlight w:val="yellow"/>
              </w:rPr>
              <w:t>Do not open before</w:t>
            </w:r>
            <w:r w:rsidRPr="009C0D01">
              <w:rPr>
                <w:rFonts w:cstheme="minorHAnsi"/>
                <w:b/>
                <w:bCs/>
                <w:color w:val="000000" w:themeColor="text1"/>
                <w:highlight w:val="yellow"/>
              </w:rPr>
              <w:t xml:space="preserve"> </w:t>
            </w:r>
            <w:r w:rsidR="00541F57">
              <w:rPr>
                <w:rFonts w:cstheme="minorHAnsi"/>
                <w:b/>
                <w:bCs/>
                <w:color w:val="FF0000"/>
                <w:highlight w:val="yellow"/>
              </w:rPr>
              <w:t>September 12</w:t>
            </w:r>
            <w:r w:rsidR="00793DAF" w:rsidRPr="009C0D01">
              <w:rPr>
                <w:rFonts w:cstheme="minorHAnsi"/>
                <w:b/>
                <w:bCs/>
                <w:color w:val="FF0000"/>
                <w:highlight w:val="yellow"/>
              </w:rPr>
              <w:t>,</w:t>
            </w:r>
            <w:r w:rsidRPr="009C0D01">
              <w:rPr>
                <w:rFonts w:cstheme="minorHAnsi"/>
                <w:b/>
                <w:b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Notification of Contract Award</w:t>
      </w:r>
    </w:p>
    <w:p w14:paraId="6AD15F3D" w14:textId="3923054F"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r w:rsidR="00302F75">
        <w:rPr>
          <w:rFonts w:asciiTheme="minorHAnsi" w:hAnsiTheme="minorHAnsi" w:cstheme="minorHAnsi"/>
          <w:sz w:val="22"/>
          <w:szCs w:val="22"/>
        </w:rPr>
        <w:t xml:space="preserve"> </w:t>
      </w:r>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39E7CD5F"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ference</w:t>
      </w:r>
      <w:r w:rsidR="0019096A" w:rsidRPr="009C0D01">
        <w:rPr>
          <w:rFonts w:cstheme="minorHAnsi"/>
          <w:b/>
          <w:color w:val="000000" w:themeColor="text1"/>
        </w:rPr>
        <w:t xml:space="preserve">: </w:t>
      </w:r>
      <w:r w:rsidR="006253AA" w:rsidRPr="009C0D01">
        <w:rPr>
          <w:rFonts w:cstheme="minorHAnsi"/>
          <w:b/>
          <w:color w:val="000000" w:themeColor="text1"/>
        </w:rPr>
        <w:t>2025-0</w:t>
      </w:r>
      <w:r w:rsidR="00AC23DA">
        <w:rPr>
          <w:rFonts w:cstheme="minorHAnsi"/>
          <w:b/>
          <w:color w:val="000000" w:themeColor="text1"/>
        </w:rPr>
        <w:t>4</w:t>
      </w:r>
      <w:r w:rsidR="00200262">
        <w:rPr>
          <w:rFonts w:cstheme="minorHAnsi"/>
          <w:b/>
          <w:color w:val="000000" w:themeColor="text1"/>
        </w:rPr>
        <w:t>7</w:t>
      </w:r>
      <w:r w:rsidR="003A5428" w:rsidRPr="009C0D01">
        <w:rPr>
          <w:rFonts w:cstheme="minorHAnsi"/>
          <w:b/>
          <w:color w:val="000000" w:themeColor="text1"/>
        </w:rPr>
        <w:t>. Do not open b</w:t>
      </w:r>
      <w:r w:rsidR="008A5F7A" w:rsidRPr="009C0D01">
        <w:rPr>
          <w:rFonts w:cstheme="minorHAnsi"/>
          <w:b/>
          <w:color w:val="000000" w:themeColor="text1"/>
        </w:rPr>
        <w:t xml:space="preserve">efore </w:t>
      </w:r>
      <w:r w:rsidR="00200262">
        <w:rPr>
          <w:rFonts w:cstheme="minorHAnsi"/>
          <w:b/>
          <w:color w:val="000000" w:themeColor="text1"/>
        </w:rPr>
        <w:t>12 September</w:t>
      </w:r>
      <w:r w:rsidR="006253AA" w:rsidRPr="009C0D01">
        <w:rPr>
          <w:rFonts w:cstheme="minorHAnsi"/>
          <w:b/>
          <w:color w:val="000000" w:themeColor="text1"/>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lastRenderedPageBreak/>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lastRenderedPageBreak/>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lastRenderedPageBreak/>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15D8AF9C"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0429869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1E704BB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30198C7A" w14:textId="77777777" w:rsidR="004A469E" w:rsidRPr="00A21838" w:rsidRDefault="004A469E"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57DBA0C7" w14:textId="77777777" w:rsidR="00AC23DA" w:rsidRDefault="00AC23DA" w:rsidP="00620B13">
      <w:pPr>
        <w:autoSpaceDE w:val="0"/>
        <w:autoSpaceDN w:val="0"/>
        <w:adjustRightInd w:val="0"/>
        <w:spacing w:after="0" w:line="240" w:lineRule="auto"/>
        <w:jc w:val="both"/>
        <w:rPr>
          <w:rFonts w:eastAsia="CIDFont+F8" w:cstheme="minorHAnsi"/>
          <w:lang w:val="en-US"/>
        </w:rPr>
      </w:pPr>
    </w:p>
    <w:p w14:paraId="4F1E2C5C" w14:textId="77777777" w:rsidR="00AC23DA" w:rsidRDefault="00AC23DA" w:rsidP="00620B13">
      <w:pPr>
        <w:autoSpaceDE w:val="0"/>
        <w:autoSpaceDN w:val="0"/>
        <w:adjustRightInd w:val="0"/>
        <w:spacing w:after="0" w:line="240" w:lineRule="auto"/>
        <w:jc w:val="both"/>
        <w:rPr>
          <w:rFonts w:eastAsia="CIDFont+F8" w:cstheme="minorHAnsi"/>
          <w:lang w:val="en-US"/>
        </w:rPr>
      </w:pPr>
    </w:p>
    <w:p w14:paraId="22956E55" w14:textId="77777777" w:rsidR="00AC23DA" w:rsidRPr="00A21838" w:rsidRDefault="00AC23DA"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6D22E5BB" w14:textId="77777777" w:rsidR="007F3CBB" w:rsidRPr="007F3CBB" w:rsidRDefault="007F3CBB" w:rsidP="007F3CBB">
      <w:pPr>
        <w:pStyle w:val="ListParagraph"/>
        <w:numPr>
          <w:ilvl w:val="0"/>
          <w:numId w:val="6"/>
        </w:numPr>
        <w:rPr>
          <w:rFonts w:cstheme="minorHAnsi"/>
          <w:b/>
          <w:bCs/>
        </w:rPr>
      </w:pPr>
      <w:r w:rsidRPr="007F3CBB">
        <w:rPr>
          <w:rFonts w:cstheme="minorHAnsi"/>
          <w:b/>
          <w:bCs/>
        </w:rPr>
        <w:t>The quantities mentioned below are required unless there is a variation within a specified range with proper justification. The LRC reserves the right to increase or decrease the quantities.</w:t>
      </w:r>
    </w:p>
    <w:p w14:paraId="2E0D0444" w14:textId="4C2CC8DF" w:rsidR="000D73AF" w:rsidRPr="00A21838" w:rsidRDefault="000D73AF" w:rsidP="007F3CBB">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1289FB05" w14:textId="701A5B9C" w:rsidR="00141A4E" w:rsidRPr="00E927FD" w:rsidRDefault="00141A4E" w:rsidP="00141A4E">
      <w:pPr>
        <w:pStyle w:val="ListParagraph"/>
        <w:numPr>
          <w:ilvl w:val="0"/>
          <w:numId w:val="6"/>
        </w:numPr>
        <w:rPr>
          <w:rFonts w:cstheme="minorHAnsi"/>
        </w:rPr>
      </w:pPr>
      <w:r w:rsidRPr="00141A4E">
        <w:rPr>
          <w:rFonts w:cstheme="minorHAnsi"/>
          <w:u w:val="single"/>
        </w:rPr>
        <w:t xml:space="preserve">The bidder is not permitted to alter the section </w:t>
      </w:r>
      <w:proofErr w:type="spellStart"/>
      <w:r w:rsidRPr="00141A4E">
        <w:rPr>
          <w:rFonts w:cstheme="minorHAnsi"/>
          <w:u w:val="single"/>
        </w:rPr>
        <w:t>labeled</w:t>
      </w:r>
      <w:proofErr w:type="spellEnd"/>
      <w:r w:rsidRPr="00141A4E">
        <w:rPr>
          <w:rFonts w:cstheme="minorHAnsi"/>
          <w:u w:val="single"/>
        </w:rPr>
        <w:t xml:space="preserve"> “LRC to complete” below</w:t>
      </w:r>
    </w:p>
    <w:p w14:paraId="2FB45CBA" w14:textId="77777777" w:rsidR="00D36639" w:rsidRPr="00F23E1B" w:rsidRDefault="00D36639" w:rsidP="00D36639">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355619CC" w14:textId="77777777" w:rsidR="00D36639" w:rsidRPr="00200262" w:rsidRDefault="00D36639" w:rsidP="00D36639">
      <w:pPr>
        <w:pStyle w:val="ListParagraph"/>
        <w:numPr>
          <w:ilvl w:val="0"/>
          <w:numId w:val="6"/>
        </w:numPr>
        <w:rPr>
          <w:rFonts w:cstheme="minorHAnsi"/>
        </w:rPr>
      </w:pPr>
      <w:r>
        <w:rPr>
          <w:rFonts w:cstheme="minorHAnsi"/>
          <w:i/>
          <w:iCs/>
          <w:color w:val="C00000"/>
        </w:rPr>
        <w:t xml:space="preserve">The awarded bidder will be contracted for three years. Bidder must do the calculations per 3 years, per 1 year and per month. </w:t>
      </w:r>
    </w:p>
    <w:p w14:paraId="746EF2B3" w14:textId="77777777" w:rsidR="00200262" w:rsidRDefault="00200262" w:rsidP="00200262">
      <w:pPr>
        <w:rPr>
          <w:rFonts w:cstheme="minorHAnsi"/>
          <w:lang w:val="en-US"/>
        </w:rPr>
      </w:pPr>
      <w:r w:rsidRPr="00200262">
        <w:rPr>
          <w:rFonts w:cstheme="minorHAnsi"/>
          <w:highlight w:val="yellow"/>
          <w:lang w:val="en-US"/>
        </w:rPr>
        <w:t>“In addition to filling the detailed costing table provided in the TOR, the bidder must submit a consolidated lump sum total covering all costs (including development, licensing, third-party tools, professional services, support, hidden/conditional costs, training, implementation, maintenance, and any other related expenses) required to deliver and operate the full solution for a period of three years</w:t>
      </w:r>
      <w:r>
        <w:rPr>
          <w:rFonts w:cstheme="minorHAnsi"/>
          <w:highlight w:val="yellow"/>
          <w:lang w:val="en-US"/>
        </w:rPr>
        <w:t>”</w:t>
      </w:r>
      <w:r w:rsidRPr="00200262">
        <w:rPr>
          <w:rFonts w:cstheme="minorHAnsi"/>
          <w:highlight w:val="yellow"/>
          <w:lang w:val="en-US"/>
        </w:rPr>
        <w:t>.</w:t>
      </w:r>
      <w:r>
        <w:rPr>
          <w:rFonts w:cstheme="minorHAnsi"/>
          <w:lang w:val="en-US"/>
        </w:rPr>
        <w:t xml:space="preserve"> </w:t>
      </w:r>
      <w:r w:rsidRPr="00200262">
        <w:rPr>
          <w:rFonts w:cstheme="minorHAnsi"/>
          <w:highlight w:val="yellow"/>
          <w:lang w:val="en-US"/>
        </w:rPr>
        <w:t>Any omission or understatement of expected costs may result in disqualification.”</w:t>
      </w:r>
      <w:r>
        <w:rPr>
          <w:rFonts w:cstheme="minorHAnsi"/>
          <w:lang w:val="en-US"/>
        </w:rPr>
        <w:t xml:space="preserve"> </w:t>
      </w:r>
    </w:p>
    <w:p w14:paraId="364E1007" w14:textId="54766115" w:rsidR="00200262" w:rsidRPr="00200262" w:rsidRDefault="00200262" w:rsidP="00200262">
      <w:pPr>
        <w:rPr>
          <w:rFonts w:cstheme="minorHAnsi"/>
          <w:b/>
          <w:bCs/>
          <w:lang w:val="en-US"/>
        </w:rPr>
      </w:pPr>
      <w:r w:rsidRPr="00200262">
        <w:rPr>
          <w:rFonts w:cstheme="minorHAnsi"/>
          <w:b/>
          <w:bCs/>
          <w:highlight w:val="yellow"/>
          <w:lang w:val="en-US"/>
        </w:rPr>
        <w:t>Financial Evaluation will be reference to the table below only</w:t>
      </w:r>
      <w:r>
        <w:rPr>
          <w:rFonts w:cstheme="minorHAnsi"/>
          <w:b/>
          <w:bCs/>
          <w:lang w:val="en-US"/>
        </w:rPr>
        <w:t>.</w:t>
      </w:r>
      <w:r w:rsidRPr="00200262">
        <w:rPr>
          <w:rFonts w:cstheme="minorHAnsi"/>
          <w:b/>
          <w:bCs/>
          <w:lang w:val="en-US"/>
        </w:rPr>
        <w:t xml:space="preserve"> </w:t>
      </w:r>
    </w:p>
    <w:p w14:paraId="7B482CAA" w14:textId="48D20C41" w:rsidR="007F3CBB" w:rsidRPr="007F3CBB" w:rsidRDefault="004E0D80" w:rsidP="007F3CBB">
      <w:pPr>
        <w:rPr>
          <w:lang w:val="en-US"/>
        </w:rPr>
      </w:pPr>
      <w:r w:rsidRPr="004E0D80">
        <w:rPr>
          <w:rFonts w:eastAsiaTheme="majorEastAsia" w:cstheme="minorHAnsi"/>
          <w:b/>
          <w:bCs/>
          <w:smallCaps/>
          <w:color w:val="4F81BD" w:themeColor="accent1"/>
          <w:spacing w:val="5"/>
          <w:sz w:val="24"/>
          <w:szCs w:val="24"/>
        </w:rPr>
        <w:t xml:space="preserve">Lot 1: </w:t>
      </w:r>
      <w:r w:rsidR="00200262">
        <w:rPr>
          <w:rFonts w:eastAsiaTheme="majorEastAsia" w:cstheme="minorHAnsi"/>
          <w:b/>
          <w:bCs/>
          <w:smallCaps/>
          <w:color w:val="4F81BD" w:themeColor="accent1"/>
          <w:spacing w:val="5"/>
          <w:sz w:val="24"/>
          <w:szCs w:val="24"/>
        </w:rPr>
        <w:t>EPC</w:t>
      </w:r>
      <w:r w:rsidR="0050365D">
        <w:rPr>
          <w:rFonts w:eastAsiaTheme="majorEastAsia" w:cstheme="minorHAnsi"/>
          <w:b/>
          <w:bCs/>
          <w:smallCaps/>
          <w:color w:val="4F81BD" w:themeColor="accent1"/>
          <w:spacing w:val="5"/>
          <w:sz w:val="24"/>
          <w:szCs w:val="24"/>
        </w:rPr>
        <w:t>R</w:t>
      </w:r>
      <w:r w:rsidR="00200262">
        <w:rPr>
          <w:rFonts w:eastAsiaTheme="majorEastAsia" w:cstheme="minorHAnsi"/>
          <w:b/>
          <w:bCs/>
          <w:smallCaps/>
          <w:color w:val="4F81BD" w:themeColor="accent1"/>
          <w:spacing w:val="5"/>
          <w:sz w:val="24"/>
          <w:szCs w:val="24"/>
        </w:rPr>
        <w:t xml:space="preserve"> Application </w:t>
      </w:r>
    </w:p>
    <w:tbl>
      <w:tblPr>
        <w:tblW w:w="15806" w:type="dxa"/>
        <w:tblInd w:w="-815" w:type="dxa"/>
        <w:tblLook w:val="04A0" w:firstRow="1" w:lastRow="0" w:firstColumn="1" w:lastColumn="0" w:noHBand="0" w:noVBand="1"/>
      </w:tblPr>
      <w:tblGrid>
        <w:gridCol w:w="944"/>
        <w:gridCol w:w="5087"/>
        <w:gridCol w:w="973"/>
        <w:gridCol w:w="1051"/>
        <w:gridCol w:w="1755"/>
        <w:gridCol w:w="1080"/>
        <w:gridCol w:w="1530"/>
        <w:gridCol w:w="1800"/>
        <w:gridCol w:w="1586"/>
      </w:tblGrid>
      <w:tr w:rsidR="00D00D8D" w:rsidRPr="00D00D8D" w14:paraId="276193DC" w14:textId="77777777" w:rsidTr="00D00D8D">
        <w:trPr>
          <w:trHeight w:val="46"/>
        </w:trPr>
        <w:tc>
          <w:tcPr>
            <w:tcW w:w="9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61280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xml:space="preserve">Item number </w:t>
            </w:r>
          </w:p>
        </w:tc>
        <w:tc>
          <w:tcPr>
            <w:tcW w:w="508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4A66C5"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Item/Milestone Required</w:t>
            </w:r>
          </w:p>
        </w:tc>
        <w:tc>
          <w:tcPr>
            <w:tcW w:w="97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556A8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Required UOM</w:t>
            </w:r>
          </w:p>
        </w:tc>
        <w:tc>
          <w:tcPr>
            <w:tcW w:w="105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E5C55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Estimated Quantity</w:t>
            </w:r>
          </w:p>
        </w:tc>
        <w:tc>
          <w:tcPr>
            <w:tcW w:w="17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D183B0"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xml:space="preserve">Unit Price in USD, Exclusive VAT rated at 11%, but inclusive Labor, installation, Bank Transfer Fees, and Delivery and all other fees </w:t>
            </w:r>
          </w:p>
        </w:tc>
        <w:tc>
          <w:tcPr>
            <w:tcW w:w="1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B5B6ED"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VAT (%)</w:t>
            </w:r>
          </w:p>
        </w:tc>
        <w:tc>
          <w:tcPr>
            <w:tcW w:w="153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378094"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xml:space="preserve">Unit Price in USD, inclusive VAT, Labor, installation, Bank Transfer Fees, and Delivery and all other fees </w:t>
            </w:r>
          </w:p>
        </w:tc>
        <w:tc>
          <w:tcPr>
            <w:tcW w:w="1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4CAFD8"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xml:space="preserve">Total Price in USD, inclusive VAT Labor, installation, Bank Transfer Fees, and Delivery and all other fees </w:t>
            </w:r>
          </w:p>
        </w:tc>
        <w:tc>
          <w:tcPr>
            <w:tcW w:w="158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02B188" w14:textId="19C65EC9" w:rsidR="00D00D8D" w:rsidRPr="00D00D8D" w:rsidRDefault="0050365D" w:rsidP="00D00D8D">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 xml:space="preserve">Lead time of Delivery </w:t>
            </w:r>
          </w:p>
        </w:tc>
      </w:tr>
      <w:tr w:rsidR="00D00D8D" w:rsidRPr="00D00D8D" w14:paraId="4526B8BA" w14:textId="77777777" w:rsidTr="0050365D">
        <w:trPr>
          <w:trHeight w:val="989"/>
        </w:trPr>
        <w:tc>
          <w:tcPr>
            <w:tcW w:w="944" w:type="dxa"/>
            <w:tcBorders>
              <w:top w:val="nil"/>
              <w:left w:val="single" w:sz="4" w:space="0" w:color="auto"/>
              <w:bottom w:val="single" w:sz="4" w:space="0" w:color="auto"/>
              <w:right w:val="single" w:sz="4" w:space="0" w:color="auto"/>
            </w:tcBorders>
            <w:noWrap/>
            <w:vAlign w:val="center"/>
            <w:hideMark/>
          </w:tcPr>
          <w:p w14:paraId="65213DA1" w14:textId="6333622A"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47464904" w14:textId="7A848CE8" w:rsidR="00D00D8D" w:rsidRPr="00D00D8D" w:rsidRDefault="00200262" w:rsidP="0050365D">
            <w:pPr>
              <w:spacing w:after="0" w:line="240" w:lineRule="auto"/>
              <w:rPr>
                <w:rFonts w:ascii="Calibri" w:eastAsia="Times New Roman" w:hAnsi="Calibri" w:cs="Calibri"/>
                <w:color w:val="000000"/>
                <w:sz w:val="20"/>
                <w:szCs w:val="20"/>
                <w:lang w:val="en-US"/>
              </w:rPr>
            </w:pPr>
            <w:r>
              <w:rPr>
                <w:rFonts w:cstheme="minorHAnsi"/>
                <w:b/>
                <w:bCs/>
                <w:lang w:val="en-US"/>
              </w:rPr>
              <w:t>EPC</w:t>
            </w:r>
            <w:r w:rsidR="0050365D">
              <w:rPr>
                <w:rFonts w:cstheme="minorHAnsi"/>
                <w:b/>
                <w:bCs/>
                <w:lang w:val="en-US"/>
              </w:rPr>
              <w:t>R</w:t>
            </w:r>
            <w:r>
              <w:rPr>
                <w:rFonts w:cstheme="minorHAnsi"/>
                <w:b/>
                <w:bCs/>
                <w:lang w:val="en-US"/>
              </w:rPr>
              <w:t xml:space="preserve"> Application (</w:t>
            </w:r>
            <w:r w:rsidRPr="00200262">
              <w:rPr>
                <w:rFonts w:cstheme="minorHAnsi"/>
                <w:b/>
                <w:bCs/>
                <w:lang w:val="en-US"/>
              </w:rPr>
              <w:t>Consolidated Lump-sum Total for the period of 3 years</w:t>
            </w:r>
            <w:r>
              <w:rPr>
                <w:rFonts w:cstheme="minorHAnsi"/>
                <w:b/>
                <w:bCs/>
                <w:lang w:val="en-US"/>
              </w:rPr>
              <w:t>)</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6E6BFE2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Year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40015CD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3</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0F53223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3551CE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7341CFB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ECA492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164DAB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bl>
    <w:p w14:paraId="60062993" w14:textId="77777777" w:rsidR="00D00D8D" w:rsidRPr="00D36639" w:rsidRDefault="00D00D8D" w:rsidP="00D36639">
      <w:pPr>
        <w:sectPr w:rsidR="00D00D8D" w:rsidRPr="00D36639"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0DCE8571" w14:textId="40C8B7EA" w:rsidR="009A48E6" w:rsidRPr="00864436" w:rsidRDefault="00864436" w:rsidP="000C7C3A">
      <w:pPr>
        <w:rPr>
          <w:b/>
          <w:bCs/>
          <w:sz w:val="24"/>
          <w:szCs w:val="24"/>
          <w:lang w:val="en-US"/>
        </w:rPr>
      </w:pPr>
      <w:r w:rsidRPr="00864436">
        <w:rPr>
          <w:b/>
          <w:bCs/>
          <w:sz w:val="24"/>
          <w:szCs w:val="24"/>
          <w:lang w:val="en-US"/>
        </w:rPr>
        <w:t>As per Annexed TOR</w:t>
      </w:r>
    </w:p>
    <w:p w14:paraId="2C5C6BFB" w14:textId="77777777" w:rsidR="009A48E6" w:rsidRDefault="009A48E6"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IBAN :</w:t>
            </w:r>
            <w:proofErr w:type="gramEnd"/>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SWIFT :</w:t>
            </w:r>
            <w:proofErr w:type="gramEnd"/>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 xml:space="preserve">For these companies it is compulsory to attach a scan either / </w:t>
            </w:r>
            <w:proofErr w:type="gramStart"/>
            <w:r w:rsidRPr="009A48E6">
              <w:rPr>
                <w:rFonts w:cstheme="minorHAnsi"/>
                <w:b/>
                <w:bCs/>
                <w:color w:val="EE0000"/>
              </w:rPr>
              <w:t>photo copy</w:t>
            </w:r>
            <w:proofErr w:type="gramEnd"/>
            <w:r w:rsidRPr="009A48E6">
              <w:rPr>
                <w:rFonts w:cstheme="minorHAnsi"/>
                <w:b/>
                <w:bCs/>
                <w:color w:val="EE0000"/>
              </w:rPr>
              <w:t xml:space="preserve">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00AF98E0"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 xml:space="preserve">we the </w:t>
            </w:r>
            <w:proofErr w:type="gramStart"/>
            <w:r w:rsidR="009259EC" w:rsidRPr="000330F9">
              <w:rPr>
                <w:rFonts w:cstheme="minorHAnsi"/>
                <w:lang w:val="en-US"/>
              </w:rPr>
              <w:t>undersigned,</w:t>
            </w:r>
            <w:proofErr w:type="gramEnd"/>
            <w:r w:rsidR="009259EC" w:rsidRPr="000330F9">
              <w:rPr>
                <w:rFonts w:cstheme="minorHAnsi"/>
                <w:lang w:val="en-US"/>
              </w:rPr>
              <w:t xml:space="preserve">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D00D8D">
              <w:rPr>
                <w:rFonts w:cstheme="minorHAnsi"/>
                <w:b/>
                <w:bCs/>
                <w:u w:val="single"/>
                <w:lang w:val="en-US"/>
              </w:rPr>
              <w:t>4</w:t>
            </w:r>
            <w:r w:rsidR="0050365D">
              <w:rPr>
                <w:rFonts w:cstheme="minorHAnsi"/>
                <w:b/>
                <w:bCs/>
                <w:u w:val="single"/>
                <w:lang w:val="en-US"/>
              </w:rPr>
              <w:t>7</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A40341">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A40341">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A40341">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A40341">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A40341">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A40341">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A40341">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A40341">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A40341">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A40341">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A40341" w:rsidRPr="00A21838" w14:paraId="652A724A" w14:textId="77777777" w:rsidTr="00A40341">
        <w:trPr>
          <w:trHeight w:val="33"/>
        </w:trPr>
        <w:tc>
          <w:tcPr>
            <w:tcW w:w="1995" w:type="pct"/>
            <w:vAlign w:val="center"/>
          </w:tcPr>
          <w:p w14:paraId="612EEC03" w14:textId="109CDBE9" w:rsidR="00A40341" w:rsidRPr="00B2038D" w:rsidRDefault="00A40341" w:rsidP="00A40341">
            <w:pPr>
              <w:rPr>
                <w:rFonts w:cstheme="minorHAnsi"/>
                <w:b/>
                <w:bCs/>
                <w:lang w:bidi="ar-LB"/>
              </w:rPr>
            </w:pPr>
            <w:r>
              <w:rPr>
                <w:rFonts w:cstheme="minorHAnsi"/>
                <w:b/>
                <w:bCs/>
                <w:lang w:bidi="ar-LB"/>
              </w:rPr>
              <w:t xml:space="preserve">TOR </w:t>
            </w:r>
            <w:r w:rsidRPr="00A21838">
              <w:rPr>
                <w:rFonts w:cstheme="minorHAnsi"/>
                <w:i/>
                <w:iCs/>
                <w:color w:val="FF0000"/>
                <w:sz w:val="18"/>
                <w:szCs w:val="18"/>
              </w:rPr>
              <w:t>signed &amp; stamped</w:t>
            </w:r>
          </w:p>
        </w:tc>
        <w:sdt>
          <w:sdtPr>
            <w:rPr>
              <w:rFonts w:cstheme="minorHAnsi"/>
              <w:b/>
            </w:rPr>
            <w:id w:val="1400327878"/>
            <w14:checkbox>
              <w14:checked w14:val="0"/>
              <w14:checkedState w14:val="2612" w14:font="MS Gothic"/>
              <w14:uncheckedState w14:val="2610" w14:font="MS Gothic"/>
            </w14:checkbox>
          </w:sdtPr>
          <w:sdtContent>
            <w:tc>
              <w:tcPr>
                <w:tcW w:w="390" w:type="pct"/>
                <w:vAlign w:val="center"/>
              </w:tcPr>
              <w:p w14:paraId="60210E19" w14:textId="4C93C233"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470936942"/>
            <w14:checkbox>
              <w14:checked w14:val="0"/>
              <w14:checkedState w14:val="2612" w14:font="MS Gothic"/>
              <w14:uncheckedState w14:val="2610" w14:font="MS Gothic"/>
            </w14:checkbox>
          </w:sdtPr>
          <w:sdtContent>
            <w:tc>
              <w:tcPr>
                <w:tcW w:w="304" w:type="pct"/>
                <w:vAlign w:val="center"/>
              </w:tcPr>
              <w:p w14:paraId="6F26BB35" w14:textId="5B8E06E7" w:rsidR="00A40341"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E8D033" w14:textId="77777777" w:rsidR="00A40341" w:rsidRPr="00A21838" w:rsidRDefault="00A40341" w:rsidP="00A40341">
            <w:pPr>
              <w:rPr>
                <w:rFonts w:cstheme="minorHAnsi"/>
                <w:b/>
              </w:rPr>
            </w:pPr>
          </w:p>
        </w:tc>
        <w:sdt>
          <w:sdtPr>
            <w:rPr>
              <w:rFonts w:cstheme="minorHAnsi"/>
              <w:b/>
            </w:rPr>
            <w:id w:val="1709067415"/>
            <w14:checkbox>
              <w14:checked w14:val="0"/>
              <w14:checkedState w14:val="2612" w14:font="MS Gothic"/>
              <w14:uncheckedState w14:val="2610" w14:font="MS Gothic"/>
            </w14:checkbox>
          </w:sdtPr>
          <w:sdtContent>
            <w:tc>
              <w:tcPr>
                <w:tcW w:w="337" w:type="pct"/>
                <w:vAlign w:val="center"/>
              </w:tcPr>
              <w:p w14:paraId="6D87F663" w14:textId="72ABA6BA"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4948352"/>
            <w14:checkbox>
              <w14:checked w14:val="0"/>
              <w14:checkedState w14:val="2612" w14:font="MS Gothic"/>
              <w14:uncheckedState w14:val="2610" w14:font="MS Gothic"/>
            </w14:checkbox>
          </w:sdtPr>
          <w:sdtContent>
            <w:tc>
              <w:tcPr>
                <w:tcW w:w="303" w:type="pct"/>
                <w:vAlign w:val="center"/>
              </w:tcPr>
              <w:p w14:paraId="14042735" w14:textId="6FB514AC" w:rsidR="00A40341" w:rsidRDefault="005945BF" w:rsidP="00A40341">
                <w:pPr>
                  <w:jc w:val="center"/>
                  <w:rPr>
                    <w:rFonts w:cstheme="minorHAnsi"/>
                    <w:b/>
                  </w:rPr>
                </w:pPr>
                <w:r>
                  <w:rPr>
                    <w:rFonts w:ascii="MS Gothic" w:eastAsia="MS Gothic" w:hAnsi="MS Gothic" w:cstheme="minorHAnsi" w:hint="eastAsia"/>
                    <w:b/>
                  </w:rPr>
                  <w:t>☐</w:t>
                </w:r>
              </w:p>
            </w:tc>
          </w:sdtContent>
        </w:sdt>
        <w:tc>
          <w:tcPr>
            <w:tcW w:w="888" w:type="pct"/>
            <w:vAlign w:val="center"/>
          </w:tcPr>
          <w:p w14:paraId="7E60DDD0" w14:textId="77777777" w:rsidR="00A40341" w:rsidRPr="00A21838" w:rsidRDefault="00A40341" w:rsidP="00A40341">
            <w:pPr>
              <w:rPr>
                <w:rFonts w:cstheme="minorHAnsi"/>
              </w:rPr>
            </w:pPr>
          </w:p>
        </w:tc>
      </w:tr>
      <w:tr w:rsidR="00A40341" w:rsidRPr="00A21838" w14:paraId="288B4A0B" w14:textId="77777777" w:rsidTr="008E2B85">
        <w:trPr>
          <w:trHeight w:val="323"/>
        </w:trPr>
        <w:tc>
          <w:tcPr>
            <w:tcW w:w="5000" w:type="pct"/>
            <w:gridSpan w:val="7"/>
            <w:shd w:val="clear" w:color="auto" w:fill="D9D9D9" w:themeFill="background1" w:themeFillShade="D9"/>
          </w:tcPr>
          <w:p w14:paraId="2B1D9289" w14:textId="523561E0" w:rsidR="00A40341" w:rsidRPr="00A21838" w:rsidRDefault="00A40341" w:rsidP="00A40341">
            <w:pPr>
              <w:rPr>
                <w:rFonts w:cstheme="minorHAnsi"/>
              </w:rPr>
            </w:pPr>
            <w:r w:rsidRPr="00A21838">
              <w:rPr>
                <w:rFonts w:cstheme="minorHAnsi"/>
                <w:b/>
              </w:rPr>
              <w:t>Supporting documents:</w:t>
            </w:r>
          </w:p>
        </w:tc>
      </w:tr>
      <w:tr w:rsidR="00A40341" w:rsidRPr="00A21838" w14:paraId="34B209C2" w14:textId="77777777" w:rsidTr="00A40341">
        <w:trPr>
          <w:trHeight w:val="545"/>
        </w:trPr>
        <w:tc>
          <w:tcPr>
            <w:tcW w:w="1995" w:type="pct"/>
            <w:vAlign w:val="center"/>
          </w:tcPr>
          <w:p w14:paraId="02A44B49" w14:textId="77777777" w:rsidR="00A40341" w:rsidRPr="00A21838" w:rsidRDefault="00A40341" w:rsidP="00A40341">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vAlign w:val="center"/>
              </w:tcPr>
              <w:p w14:paraId="73E8E75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A40341" w:rsidRPr="00A21838" w:rsidRDefault="00A40341" w:rsidP="00A40341">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vAlign w:val="center"/>
              </w:tcPr>
              <w:p w14:paraId="59FD668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vAlign w:val="center"/>
              </w:tcPr>
              <w:p w14:paraId="69526B9B"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A40341" w:rsidRPr="00A21838" w:rsidRDefault="00A40341" w:rsidP="00A40341">
            <w:pPr>
              <w:rPr>
                <w:rFonts w:cstheme="minorHAnsi"/>
              </w:rPr>
            </w:pPr>
          </w:p>
        </w:tc>
      </w:tr>
      <w:tr w:rsidR="00A40341" w:rsidRPr="00A21838" w14:paraId="316CB283" w14:textId="77777777" w:rsidTr="00A40341">
        <w:trPr>
          <w:trHeight w:val="545"/>
        </w:trPr>
        <w:tc>
          <w:tcPr>
            <w:tcW w:w="1995" w:type="pct"/>
            <w:vAlign w:val="center"/>
          </w:tcPr>
          <w:p w14:paraId="2D2D2A0D" w14:textId="77777777" w:rsidR="00A40341" w:rsidRPr="00A21838" w:rsidRDefault="00A40341" w:rsidP="00A40341">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A40341" w:rsidRPr="00A21838" w:rsidRDefault="00A40341" w:rsidP="00A40341">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A40341" w:rsidRPr="00A21838" w:rsidRDefault="00A40341" w:rsidP="00A40341">
            <w:pPr>
              <w:rPr>
                <w:rFonts w:cstheme="minorHAnsi"/>
              </w:rPr>
            </w:pPr>
          </w:p>
        </w:tc>
      </w:tr>
      <w:tr w:rsidR="00A40341" w:rsidRPr="00A21838" w14:paraId="2FA1C84A" w14:textId="77777777" w:rsidTr="00A40341">
        <w:trPr>
          <w:trHeight w:val="545"/>
        </w:trPr>
        <w:tc>
          <w:tcPr>
            <w:tcW w:w="1995" w:type="pct"/>
            <w:vAlign w:val="center"/>
          </w:tcPr>
          <w:p w14:paraId="32090DFA" w14:textId="77777777" w:rsidR="00A40341" w:rsidRPr="00A21838" w:rsidRDefault="00A40341" w:rsidP="00A40341">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A40341" w:rsidRPr="00A21838" w:rsidRDefault="00A40341" w:rsidP="00A40341">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A40341" w:rsidRPr="00A21838" w:rsidRDefault="00A40341" w:rsidP="00A40341">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A40341" w:rsidRPr="00A21838" w:rsidRDefault="00A40341" w:rsidP="00A40341">
            <w:pPr>
              <w:rPr>
                <w:rFonts w:cstheme="minorHAnsi"/>
              </w:rPr>
            </w:pPr>
          </w:p>
        </w:tc>
      </w:tr>
      <w:tr w:rsidR="00A40341" w:rsidRPr="00A21838" w14:paraId="5A78B8C7" w14:textId="77777777" w:rsidTr="00A40341">
        <w:trPr>
          <w:trHeight w:val="209"/>
        </w:trPr>
        <w:tc>
          <w:tcPr>
            <w:tcW w:w="1995" w:type="pct"/>
          </w:tcPr>
          <w:p w14:paraId="6C8D9952" w14:textId="77777777" w:rsidR="00A40341" w:rsidRPr="00A21838" w:rsidRDefault="00A40341" w:rsidP="00A40341">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A40341" w:rsidRPr="00A21838" w:rsidRDefault="00A40341" w:rsidP="00A40341">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A40341" w:rsidRPr="00A21838" w:rsidRDefault="00A40341" w:rsidP="00A40341">
            <w:pPr>
              <w:rPr>
                <w:rFonts w:cstheme="minorHAnsi"/>
              </w:rPr>
            </w:pPr>
          </w:p>
        </w:tc>
      </w:tr>
      <w:tr w:rsidR="00A40341" w:rsidRPr="00A21838" w14:paraId="6D0DAB55" w14:textId="77777777" w:rsidTr="00A40341">
        <w:trPr>
          <w:trHeight w:val="291"/>
        </w:trPr>
        <w:tc>
          <w:tcPr>
            <w:tcW w:w="1995" w:type="pct"/>
          </w:tcPr>
          <w:p w14:paraId="42A63C66" w14:textId="3805146C" w:rsidR="00A40341" w:rsidRPr="00A21838" w:rsidRDefault="00A40341" w:rsidP="00A40341">
            <w:pPr>
              <w:rPr>
                <w:rFonts w:cstheme="minorHAnsi"/>
                <w:i/>
                <w:iCs/>
                <w:rtl/>
                <w:lang w:bidi="ar-LB"/>
              </w:rPr>
            </w:pPr>
            <w:r w:rsidRPr="00A21838">
              <w:rPr>
                <w:rFonts w:cstheme="minorHAnsi"/>
                <w:b/>
                <w:bCs/>
                <w:lang w:bidi="ar-LB"/>
              </w:rPr>
              <w:t xml:space="preserve">Official IBAN </w:t>
            </w:r>
            <w:proofErr w:type="gramStart"/>
            <w:r w:rsidRPr="00A21838">
              <w:rPr>
                <w:rFonts w:cstheme="minorHAnsi"/>
                <w:b/>
                <w:bCs/>
                <w:lang w:bidi="ar-LB"/>
              </w:rPr>
              <w:t>signed  by</w:t>
            </w:r>
            <w:proofErr w:type="gramEnd"/>
            <w:r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A40341" w:rsidRPr="00A21838" w:rsidRDefault="00A40341" w:rsidP="00A40341">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A40341" w:rsidRPr="00A21838" w:rsidRDefault="00A40341" w:rsidP="00A40341">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E9A3B" w14:textId="77777777" w:rsidR="003D2F9B" w:rsidRDefault="003D2F9B" w:rsidP="00ED3A74">
      <w:pPr>
        <w:spacing w:after="0" w:line="240" w:lineRule="auto"/>
      </w:pPr>
      <w:r>
        <w:separator/>
      </w:r>
    </w:p>
  </w:endnote>
  <w:endnote w:type="continuationSeparator" w:id="0">
    <w:p w14:paraId="28178C41" w14:textId="77777777" w:rsidR="003D2F9B" w:rsidRDefault="003D2F9B" w:rsidP="00ED3A74">
      <w:pPr>
        <w:spacing w:after="0" w:line="240" w:lineRule="auto"/>
      </w:pPr>
      <w:r>
        <w:continuationSeparator/>
      </w:r>
    </w:p>
  </w:endnote>
  <w:endnote w:type="continuationNotice" w:id="1">
    <w:p w14:paraId="1BBBB027" w14:textId="77777777" w:rsidR="003D2F9B" w:rsidRDefault="003D2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EF83C" w14:textId="77777777" w:rsidR="003D2F9B" w:rsidRDefault="003D2F9B" w:rsidP="00ED3A74">
      <w:pPr>
        <w:spacing w:after="0" w:line="240" w:lineRule="auto"/>
      </w:pPr>
      <w:r>
        <w:separator/>
      </w:r>
    </w:p>
  </w:footnote>
  <w:footnote w:type="continuationSeparator" w:id="0">
    <w:p w14:paraId="74C4D5A7" w14:textId="77777777" w:rsidR="003D2F9B" w:rsidRDefault="003D2F9B" w:rsidP="00ED3A74">
      <w:pPr>
        <w:spacing w:after="0" w:line="240" w:lineRule="auto"/>
      </w:pPr>
      <w:r>
        <w:continuationSeparator/>
      </w:r>
    </w:p>
  </w:footnote>
  <w:footnote w:type="continuationNotice" w:id="1">
    <w:p w14:paraId="038CD75B" w14:textId="77777777" w:rsidR="003D2F9B" w:rsidRDefault="003D2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575BF52" w:rsidR="001505A8" w:rsidRDefault="001505A8" w:rsidP="001505A8">
    <w:pPr>
      <w:pStyle w:val="Header"/>
      <w:jc w:val="right"/>
      <w:rPr>
        <w:noProof/>
      </w:rPr>
    </w:pPr>
    <w:r>
      <w:t>Tender reference: 2025-0</w:t>
    </w:r>
    <w:r w:rsidR="001E310F">
      <w:t>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1F24140"/>
    <w:multiLevelType w:val="hybridMultilevel"/>
    <w:tmpl w:val="EC94AD36"/>
    <w:lvl w:ilvl="0" w:tplc="0D60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3" w15:restartNumberingAfterBreak="0">
    <w:nsid w:val="37F90E62"/>
    <w:multiLevelType w:val="hybridMultilevel"/>
    <w:tmpl w:val="DE2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764E3"/>
    <w:multiLevelType w:val="multilevel"/>
    <w:tmpl w:val="2C8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882419"/>
    <w:multiLevelType w:val="hybridMultilevel"/>
    <w:tmpl w:val="0138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6"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7"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7"/>
  </w:num>
  <w:num w:numId="3" w16cid:durableId="1694841798">
    <w:abstractNumId w:val="8"/>
  </w:num>
  <w:num w:numId="4" w16cid:durableId="534006320">
    <w:abstractNumId w:val="0"/>
  </w:num>
  <w:num w:numId="5" w16cid:durableId="805006742">
    <w:abstractNumId w:val="23"/>
  </w:num>
  <w:num w:numId="6" w16cid:durableId="1426072520">
    <w:abstractNumId w:val="18"/>
  </w:num>
  <w:num w:numId="7" w16cid:durableId="227501363">
    <w:abstractNumId w:val="3"/>
  </w:num>
  <w:num w:numId="8" w16cid:durableId="491944188">
    <w:abstractNumId w:val="6"/>
  </w:num>
  <w:num w:numId="9" w16cid:durableId="433482495">
    <w:abstractNumId w:val="27"/>
  </w:num>
  <w:num w:numId="10" w16cid:durableId="1394549192">
    <w:abstractNumId w:val="2"/>
  </w:num>
  <w:num w:numId="11" w16cid:durableId="880243611">
    <w:abstractNumId w:val="21"/>
  </w:num>
  <w:num w:numId="12" w16cid:durableId="741099906">
    <w:abstractNumId w:val="7"/>
  </w:num>
  <w:num w:numId="13" w16cid:durableId="599679599">
    <w:abstractNumId w:val="4"/>
  </w:num>
  <w:num w:numId="14" w16cid:durableId="1225406338">
    <w:abstractNumId w:val="25"/>
  </w:num>
  <w:num w:numId="15" w16cid:durableId="684288697">
    <w:abstractNumId w:val="22"/>
  </w:num>
  <w:num w:numId="16" w16cid:durableId="1207595752">
    <w:abstractNumId w:val="26"/>
  </w:num>
  <w:num w:numId="17" w16cid:durableId="822283985">
    <w:abstractNumId w:val="20"/>
  </w:num>
  <w:num w:numId="18" w16cid:durableId="185872980">
    <w:abstractNumId w:val="24"/>
  </w:num>
  <w:num w:numId="19" w16cid:durableId="550311536">
    <w:abstractNumId w:val="10"/>
  </w:num>
  <w:num w:numId="20" w16cid:durableId="1633486148">
    <w:abstractNumId w:val="16"/>
  </w:num>
  <w:num w:numId="21" w16cid:durableId="1271820716">
    <w:abstractNumId w:val="12"/>
  </w:num>
  <w:num w:numId="22" w16cid:durableId="1942565444">
    <w:abstractNumId w:val="5"/>
  </w:num>
  <w:num w:numId="23" w16cid:durableId="2012174904">
    <w:abstractNumId w:val="15"/>
  </w:num>
  <w:num w:numId="24" w16cid:durableId="1511484532">
    <w:abstractNumId w:val="1"/>
  </w:num>
  <w:num w:numId="25" w16cid:durableId="1981878871">
    <w:abstractNumId w:val="28"/>
  </w:num>
  <w:num w:numId="26" w16cid:durableId="1234199762">
    <w:abstractNumId w:val="19"/>
  </w:num>
  <w:num w:numId="27" w16cid:durableId="1738628392">
    <w:abstractNumId w:val="11"/>
  </w:num>
  <w:num w:numId="28" w16cid:durableId="1981223613">
    <w:abstractNumId w:val="13"/>
  </w:num>
  <w:num w:numId="29" w16cid:durableId="212646403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077C7"/>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538"/>
    <w:rsid w:val="00043C95"/>
    <w:rsid w:val="00044A11"/>
    <w:rsid w:val="000454E0"/>
    <w:rsid w:val="0004594D"/>
    <w:rsid w:val="0004669C"/>
    <w:rsid w:val="00047367"/>
    <w:rsid w:val="000501FA"/>
    <w:rsid w:val="000503D4"/>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1242"/>
    <w:rsid w:val="00093E4D"/>
    <w:rsid w:val="00095162"/>
    <w:rsid w:val="0009630C"/>
    <w:rsid w:val="00097154"/>
    <w:rsid w:val="0009751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7D9"/>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2F8"/>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07CF"/>
    <w:rsid w:val="001E2C67"/>
    <w:rsid w:val="001E310F"/>
    <w:rsid w:val="001E6B26"/>
    <w:rsid w:val="001E7410"/>
    <w:rsid w:val="001E7641"/>
    <w:rsid w:val="001F124A"/>
    <w:rsid w:val="001F17BA"/>
    <w:rsid w:val="001F259A"/>
    <w:rsid w:val="001F3A18"/>
    <w:rsid w:val="001F3BDA"/>
    <w:rsid w:val="001F3FF3"/>
    <w:rsid w:val="001F6E85"/>
    <w:rsid w:val="001F6FA5"/>
    <w:rsid w:val="00200262"/>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2B6"/>
    <w:rsid w:val="002419EA"/>
    <w:rsid w:val="00241B05"/>
    <w:rsid w:val="002421E5"/>
    <w:rsid w:val="002431BC"/>
    <w:rsid w:val="002432D2"/>
    <w:rsid w:val="00244488"/>
    <w:rsid w:val="002446ED"/>
    <w:rsid w:val="0024601A"/>
    <w:rsid w:val="00247004"/>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2F75"/>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4AF"/>
    <w:rsid w:val="0039485A"/>
    <w:rsid w:val="003949FD"/>
    <w:rsid w:val="003A120D"/>
    <w:rsid w:val="003A1691"/>
    <w:rsid w:val="003A233D"/>
    <w:rsid w:val="003A299A"/>
    <w:rsid w:val="003A37F3"/>
    <w:rsid w:val="003A3855"/>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2F9B"/>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469E"/>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0D80"/>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365D"/>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0B6"/>
    <w:rsid w:val="005259DE"/>
    <w:rsid w:val="00526446"/>
    <w:rsid w:val="00530C7C"/>
    <w:rsid w:val="005403AD"/>
    <w:rsid w:val="0054051E"/>
    <w:rsid w:val="005414CF"/>
    <w:rsid w:val="0054172C"/>
    <w:rsid w:val="00541F57"/>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45BF"/>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2854"/>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190"/>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17D4C"/>
    <w:rsid w:val="007218C5"/>
    <w:rsid w:val="00721B06"/>
    <w:rsid w:val="0072270B"/>
    <w:rsid w:val="00722798"/>
    <w:rsid w:val="00723BD5"/>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CBB"/>
    <w:rsid w:val="007F3F39"/>
    <w:rsid w:val="007F4A6A"/>
    <w:rsid w:val="007F6958"/>
    <w:rsid w:val="00802273"/>
    <w:rsid w:val="00803416"/>
    <w:rsid w:val="00804864"/>
    <w:rsid w:val="00805FD7"/>
    <w:rsid w:val="008063A0"/>
    <w:rsid w:val="0080679D"/>
    <w:rsid w:val="0080754A"/>
    <w:rsid w:val="00810E71"/>
    <w:rsid w:val="00812BBA"/>
    <w:rsid w:val="008131C0"/>
    <w:rsid w:val="00814F9F"/>
    <w:rsid w:val="00820692"/>
    <w:rsid w:val="00820C83"/>
    <w:rsid w:val="00822819"/>
    <w:rsid w:val="008246E5"/>
    <w:rsid w:val="00826B4C"/>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436"/>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1A84"/>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9D7"/>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01"/>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2852"/>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0341"/>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23DA"/>
    <w:rsid w:val="00AC3441"/>
    <w:rsid w:val="00AC4733"/>
    <w:rsid w:val="00AC4D9B"/>
    <w:rsid w:val="00AC4DAD"/>
    <w:rsid w:val="00AC4DC1"/>
    <w:rsid w:val="00AC564D"/>
    <w:rsid w:val="00AC711B"/>
    <w:rsid w:val="00AD3E94"/>
    <w:rsid w:val="00AD3F4D"/>
    <w:rsid w:val="00AD41F9"/>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0BC7"/>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BDC"/>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0D8D"/>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6639"/>
    <w:rsid w:val="00D379EC"/>
    <w:rsid w:val="00D37A62"/>
    <w:rsid w:val="00D40AB9"/>
    <w:rsid w:val="00D4172B"/>
    <w:rsid w:val="00D43BCE"/>
    <w:rsid w:val="00D43E16"/>
    <w:rsid w:val="00D44C37"/>
    <w:rsid w:val="00D470EF"/>
    <w:rsid w:val="00D5105D"/>
    <w:rsid w:val="00D53D8C"/>
    <w:rsid w:val="00D5411E"/>
    <w:rsid w:val="00D54ED4"/>
    <w:rsid w:val="00D564BC"/>
    <w:rsid w:val="00D614D8"/>
    <w:rsid w:val="00D64EB0"/>
    <w:rsid w:val="00D65220"/>
    <w:rsid w:val="00D657C7"/>
    <w:rsid w:val="00D66634"/>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0350"/>
    <w:rsid w:val="00DE1E7B"/>
    <w:rsid w:val="00DE240F"/>
    <w:rsid w:val="00DE26B3"/>
    <w:rsid w:val="00DE37E7"/>
    <w:rsid w:val="00DE39BE"/>
    <w:rsid w:val="00DE46F2"/>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06DC"/>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CAE"/>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078"/>
    <w:rsid w:val="00F65921"/>
    <w:rsid w:val="00F665AD"/>
    <w:rsid w:val="00F70000"/>
    <w:rsid w:val="00F70029"/>
    <w:rsid w:val="00F725DC"/>
    <w:rsid w:val="00F73BE8"/>
    <w:rsid w:val="00F769F3"/>
    <w:rsid w:val="00F77871"/>
    <w:rsid w:val="00F80B4F"/>
    <w:rsid w:val="00F8185B"/>
    <w:rsid w:val="00F83294"/>
    <w:rsid w:val="00F83836"/>
    <w:rsid w:val="00F83EBA"/>
    <w:rsid w:val="00F846BA"/>
    <w:rsid w:val="00F84A47"/>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2167573">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8369534">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6027539">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49601731">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22151">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27874315">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3841190">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1998210">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9544168">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496871268">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81480767">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2561236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8212</Words>
  <Characters>46813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cp:revision>
  <cp:lastPrinted>2025-04-09T08:02:00Z</cp:lastPrinted>
  <dcterms:created xsi:type="dcterms:W3CDTF">2025-08-13T18:53:00Z</dcterms:created>
  <dcterms:modified xsi:type="dcterms:W3CDTF">2025-08-13T18:53:00Z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