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500D7" w14:textId="49D1E3AE" w:rsidR="00FA616E" w:rsidRPr="00FA616E" w:rsidRDefault="00933440" w:rsidP="00FA616E">
      <w:pPr>
        <w:pStyle w:val="Heading2"/>
        <w:jc w:val="both"/>
        <w:rPr>
          <w:rFonts w:asciiTheme="minorHAnsi" w:hAnsiTheme="minorHAnsi" w:cstheme="minorHAnsi"/>
          <w:color w:val="C00000"/>
          <w:sz w:val="22"/>
          <w:szCs w:val="22"/>
        </w:rPr>
      </w:pPr>
      <w:bookmarkStart w:id="0" w:name="_Toc459799307"/>
      <w:r w:rsidRPr="00A21838">
        <w:rPr>
          <w:rFonts w:asciiTheme="minorHAnsi" w:hAnsiTheme="minorHAnsi" w:cstheme="minorHAnsi"/>
          <w:color w:val="C00000"/>
          <w:sz w:val="22"/>
          <w:szCs w:val="22"/>
        </w:rPr>
        <w:t>A</w:t>
      </w:r>
      <w:r w:rsidR="006E54C2" w:rsidRPr="00A21838">
        <w:rPr>
          <w:rFonts w:asciiTheme="minorHAnsi" w:hAnsiTheme="minorHAnsi" w:cstheme="minorHAnsi"/>
          <w:color w:val="C00000"/>
          <w:sz w:val="22"/>
          <w:szCs w:val="22"/>
        </w:rPr>
        <w:t>nnex</w:t>
      </w:r>
      <w:r w:rsidRPr="00A21838">
        <w:rPr>
          <w:rFonts w:asciiTheme="minorHAnsi" w:hAnsiTheme="minorHAnsi" w:cstheme="minorHAnsi"/>
          <w:color w:val="C00000"/>
          <w:sz w:val="22"/>
          <w:szCs w:val="22"/>
        </w:rPr>
        <w:t xml:space="preserve"> 2 </w:t>
      </w:r>
      <w:r w:rsidR="006E54C2" w:rsidRPr="00A21838">
        <w:rPr>
          <w:rFonts w:asciiTheme="minorHAnsi" w:hAnsiTheme="minorHAnsi" w:cstheme="minorHAnsi"/>
          <w:color w:val="C00000"/>
          <w:sz w:val="22"/>
          <w:szCs w:val="22"/>
        </w:rPr>
        <w:t>–</w:t>
      </w:r>
      <w:r w:rsidRPr="00A21838">
        <w:rPr>
          <w:rFonts w:asciiTheme="minorHAnsi" w:hAnsiTheme="minorHAnsi" w:cstheme="minorHAnsi"/>
          <w:color w:val="C00000"/>
          <w:sz w:val="22"/>
          <w:szCs w:val="22"/>
        </w:rPr>
        <w:t xml:space="preserve"> </w:t>
      </w:r>
      <w:bookmarkEnd w:id="0"/>
      <w:r w:rsidR="006E54C2" w:rsidRPr="00A21838">
        <w:rPr>
          <w:rFonts w:asciiTheme="minorHAnsi" w:hAnsiTheme="minorHAnsi" w:cstheme="minorHAnsi"/>
          <w:color w:val="C00000"/>
          <w:sz w:val="22"/>
          <w:szCs w:val="22"/>
        </w:rPr>
        <w:t xml:space="preserve">Bid Form </w:t>
      </w:r>
      <w:r w:rsidR="006E54C2" w:rsidRPr="00A21838">
        <w:rPr>
          <w:rFonts w:asciiTheme="minorHAnsi" w:hAnsiTheme="minorHAnsi" w:cstheme="minorHAnsi"/>
          <w:b w:val="0"/>
          <w:bCs w:val="0"/>
          <w:i/>
          <w:iCs/>
          <w:color w:val="C00000"/>
          <w:sz w:val="22"/>
          <w:szCs w:val="22"/>
        </w:rPr>
        <w:t>completed signed and stamped</w:t>
      </w:r>
    </w:p>
    <w:p w14:paraId="108F1D11" w14:textId="77777777" w:rsidR="00B17B17" w:rsidRDefault="00B17B17" w:rsidP="00B17B17">
      <w:pPr>
        <w:pStyle w:val="ListParagraph"/>
        <w:numPr>
          <w:ilvl w:val="0"/>
          <w:numId w:val="6"/>
        </w:numPr>
        <w:rPr>
          <w:rFonts w:cstheme="minorHAnsi"/>
        </w:rPr>
      </w:pPr>
      <w:r>
        <w:rPr>
          <w:rFonts w:cstheme="minorHAnsi"/>
        </w:rPr>
        <w:t>All bids must be typed; handwritten bids will not be considered.</w:t>
      </w:r>
    </w:p>
    <w:p w14:paraId="5D5ADE61" w14:textId="40678637" w:rsidR="00B17B17" w:rsidRDefault="00B17B17" w:rsidP="00B17B17">
      <w:pPr>
        <w:pStyle w:val="ListParagraph"/>
        <w:numPr>
          <w:ilvl w:val="0"/>
          <w:numId w:val="6"/>
        </w:numPr>
        <w:rPr>
          <w:rFonts w:cstheme="minorHAnsi"/>
        </w:rPr>
      </w:pPr>
      <w:r>
        <w:rPr>
          <w:rFonts w:cstheme="minorHAnsi"/>
        </w:rPr>
        <w:t xml:space="preserve">The contract will be awarded to the lowest-cost technically compliant </w:t>
      </w:r>
      <w:r w:rsidR="00BA21AA">
        <w:rPr>
          <w:rFonts w:cstheme="minorHAnsi"/>
        </w:rPr>
        <w:t>kit</w:t>
      </w:r>
    </w:p>
    <w:p w14:paraId="02121AD7" w14:textId="77777777" w:rsidR="00B17B17" w:rsidRPr="00B17B17" w:rsidRDefault="00B17B17" w:rsidP="00B17B17">
      <w:pPr>
        <w:pStyle w:val="ListParagraph"/>
        <w:numPr>
          <w:ilvl w:val="0"/>
          <w:numId w:val="6"/>
        </w:numPr>
        <w:rPr>
          <w:rFonts w:cstheme="minorHAnsi"/>
        </w:rPr>
      </w:pPr>
      <w:r w:rsidRPr="00B17B17">
        <w:rPr>
          <w:rFonts w:cstheme="minorHAnsi"/>
        </w:rPr>
        <w:t>The quantities mentioned below are required unless there is a variation within a specified range with proper justification. The LRC reserves the right to increase or decrease the quantities.</w:t>
      </w:r>
    </w:p>
    <w:p w14:paraId="07CD79AC" w14:textId="0CCBF377" w:rsidR="00B17B17" w:rsidRDefault="00B17B17" w:rsidP="00B17B17">
      <w:pPr>
        <w:pStyle w:val="ListParagraph"/>
        <w:numPr>
          <w:ilvl w:val="0"/>
          <w:numId w:val="6"/>
        </w:numPr>
        <w:rPr>
          <w:rFonts w:cstheme="minorHAnsi"/>
        </w:rPr>
      </w:pPr>
      <w:r>
        <w:rPr>
          <w:rFonts w:cstheme="minorHAnsi"/>
          <w:u w:val="single"/>
        </w:rPr>
        <w:t xml:space="preserve">The bidder is not permitted to alter the section </w:t>
      </w:r>
      <w:r w:rsidR="005570F4">
        <w:rPr>
          <w:rFonts w:cstheme="minorHAnsi"/>
          <w:u w:val="single"/>
        </w:rPr>
        <w:t>labelled</w:t>
      </w:r>
      <w:r>
        <w:rPr>
          <w:rFonts w:cstheme="minorHAnsi"/>
          <w:u w:val="single"/>
        </w:rPr>
        <w:t xml:space="preserve"> “LRC to complete” below.</w:t>
      </w:r>
      <w:r w:rsidR="000C7BF4">
        <w:rPr>
          <w:rFonts w:cstheme="minorHAnsi"/>
          <w:u w:val="single"/>
        </w:rPr>
        <w:t xml:space="preserve"> Bidder is not allowed to use any other template. </w:t>
      </w:r>
      <w:r>
        <w:rPr>
          <w:rFonts w:cstheme="minorHAnsi"/>
          <w:u w:val="single"/>
        </w:rPr>
        <w:t xml:space="preserve"> </w:t>
      </w:r>
    </w:p>
    <w:p w14:paraId="70C1600A" w14:textId="77777777" w:rsidR="00B17B17" w:rsidRPr="00B17B17" w:rsidRDefault="00B17B17" w:rsidP="00B17B17">
      <w:pPr>
        <w:pStyle w:val="ListParagraph"/>
        <w:numPr>
          <w:ilvl w:val="0"/>
          <w:numId w:val="6"/>
        </w:numPr>
        <w:rPr>
          <w:rFonts w:cstheme="minorHAnsi"/>
          <w:color w:val="000000" w:themeColor="text1"/>
        </w:rPr>
      </w:pPr>
      <w:r>
        <w:rPr>
          <w:rFonts w:cstheme="minorHAnsi"/>
        </w:rPr>
        <w:t xml:space="preserve">In the event of any discrepancy between the unit price and the total price, LRC reserves the right to rely on the unit price as stated in the financial bid, rather than the total price without go back to the supplier. </w:t>
      </w:r>
      <w:r w:rsidRPr="00B17B17">
        <w:rPr>
          <w:rFonts w:cstheme="minorHAnsi"/>
          <w:i/>
          <w:iCs/>
          <w:color w:val="000000" w:themeColor="text1"/>
        </w:rPr>
        <w:t>The unit price must be provided with no more than two decimal places.</w:t>
      </w:r>
    </w:p>
    <w:p w14:paraId="5CFF289A" w14:textId="2BACFA42" w:rsidR="009A11C9" w:rsidRDefault="00854DB9" w:rsidP="001242BA">
      <w:pPr>
        <w:pStyle w:val="ListParagraph"/>
        <w:numPr>
          <w:ilvl w:val="0"/>
          <w:numId w:val="6"/>
        </w:numPr>
        <w:rPr>
          <w:rFonts w:cstheme="minorHAnsi"/>
          <w:color w:val="000000" w:themeColor="text1"/>
        </w:rPr>
      </w:pPr>
      <w:r w:rsidRPr="001242BA">
        <w:rPr>
          <w:rFonts w:cstheme="minorHAnsi"/>
          <w:color w:val="000000" w:themeColor="text1"/>
        </w:rPr>
        <w:t xml:space="preserve">Only one option is allowed for biding </w:t>
      </w:r>
    </w:p>
    <w:p w14:paraId="5CAE0824" w14:textId="7907F4F4" w:rsidR="007A42C9" w:rsidRPr="007A42C9" w:rsidRDefault="007A42C9" w:rsidP="001242BA">
      <w:pPr>
        <w:pStyle w:val="ListParagraph"/>
        <w:numPr>
          <w:ilvl w:val="0"/>
          <w:numId w:val="6"/>
        </w:numPr>
        <w:rPr>
          <w:rFonts w:cstheme="minorHAnsi"/>
          <w:color w:val="000000" w:themeColor="text1"/>
          <w:highlight w:val="yellow"/>
        </w:rPr>
      </w:pPr>
      <w:r w:rsidRPr="007A42C9">
        <w:rPr>
          <w:rFonts w:cstheme="minorHAnsi"/>
          <w:color w:val="000000" w:themeColor="text1"/>
          <w:highlight w:val="yellow"/>
        </w:rPr>
        <w:t xml:space="preserve">Datasheet + Picture for each item must be submitted with the bid </w:t>
      </w:r>
    </w:p>
    <w:p w14:paraId="52091E82" w14:textId="74D4125C" w:rsidR="009A11C9" w:rsidRDefault="009A11C9" w:rsidP="009A11C9">
      <w:pPr>
        <w:rPr>
          <w:rFonts w:cstheme="minorHAnsi"/>
          <w:b/>
          <w:bCs/>
          <w:color w:val="0070C0"/>
          <w:u w:val="single"/>
        </w:rPr>
      </w:pPr>
      <w:r w:rsidRPr="009A11C9">
        <w:rPr>
          <w:rFonts w:cstheme="minorHAnsi"/>
          <w:b/>
          <w:bCs/>
          <w:color w:val="0070C0"/>
          <w:u w:val="single"/>
        </w:rPr>
        <w:t xml:space="preserve">LOT 1: </w:t>
      </w:r>
    </w:p>
    <w:tbl>
      <w:tblPr>
        <w:tblStyle w:val="ListTable4-Accent1"/>
        <w:tblW w:w="15111" w:type="dxa"/>
        <w:tblInd w:w="-455" w:type="dxa"/>
        <w:tblLook w:val="04A0" w:firstRow="1" w:lastRow="0" w:firstColumn="1" w:lastColumn="0" w:noHBand="0" w:noVBand="1"/>
      </w:tblPr>
      <w:tblGrid>
        <w:gridCol w:w="811"/>
        <w:gridCol w:w="2081"/>
        <w:gridCol w:w="1318"/>
        <w:gridCol w:w="1275"/>
        <w:gridCol w:w="2502"/>
        <w:gridCol w:w="586"/>
        <w:gridCol w:w="2248"/>
        <w:gridCol w:w="2262"/>
        <w:gridCol w:w="2028"/>
      </w:tblGrid>
      <w:tr w:rsidR="00AA1E03" w:rsidRPr="001D72FB" w14:paraId="244363C9" w14:textId="3AF25F93" w:rsidTr="00D6416C">
        <w:trPr>
          <w:cnfStyle w:val="100000000000" w:firstRow="1" w:lastRow="0" w:firstColumn="0" w:lastColumn="0" w:oddVBand="0" w:evenVBand="0" w:oddHBand="0"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5478" w:type="dxa"/>
            <w:gridSpan w:val="4"/>
            <w:noWrap/>
            <w:hideMark/>
          </w:tcPr>
          <w:p w14:paraId="30581A3F" w14:textId="77777777" w:rsidR="00AA1E03" w:rsidRPr="001D72FB" w:rsidRDefault="00AA1E03" w:rsidP="001D72FB">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LRC To Complete</w:t>
            </w:r>
          </w:p>
        </w:tc>
        <w:tc>
          <w:tcPr>
            <w:tcW w:w="0" w:type="auto"/>
            <w:gridSpan w:val="5"/>
            <w:noWrap/>
            <w:hideMark/>
          </w:tcPr>
          <w:p w14:paraId="7F495374" w14:textId="01B8FA82" w:rsidR="00AA1E03" w:rsidRPr="001D72FB" w:rsidRDefault="00AA1E03" w:rsidP="001D72FB">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 w:val="18"/>
                <w:szCs w:val="18"/>
                <w:lang w:val="en-US"/>
              </w:rPr>
            </w:pPr>
            <w:r w:rsidRPr="001D72FB">
              <w:rPr>
                <w:rFonts w:eastAsia="Times New Roman" w:cstheme="minorHAnsi"/>
                <w:color w:val="000000"/>
                <w:sz w:val="18"/>
                <w:szCs w:val="18"/>
                <w:lang w:val="en-US"/>
              </w:rPr>
              <w:t xml:space="preserve">Bidder to Complete </w:t>
            </w:r>
          </w:p>
        </w:tc>
      </w:tr>
      <w:tr w:rsidR="00F305AF" w:rsidRPr="00B25B2C" w14:paraId="7D72BD57" w14:textId="3B138D2A" w:rsidTr="009E71A0">
        <w:trPr>
          <w:cnfStyle w:val="000000100000" w:firstRow="0" w:lastRow="0" w:firstColumn="0" w:lastColumn="0" w:oddVBand="0" w:evenVBand="0" w:oddHBand="1" w:evenHBand="0" w:firstRowFirstColumn="0" w:firstRowLastColumn="0" w:lastRowFirstColumn="0" w:lastRowLastColumn="0"/>
          <w:trHeight w:val="829"/>
        </w:trPr>
        <w:tc>
          <w:tcPr>
            <w:cnfStyle w:val="001000000000" w:firstRow="0" w:lastRow="0" w:firstColumn="1" w:lastColumn="0" w:oddVBand="0" w:evenVBand="0" w:oddHBand="0" w:evenHBand="0" w:firstRowFirstColumn="0" w:firstRowLastColumn="0" w:lastRowFirstColumn="0" w:lastRowLastColumn="0"/>
            <w:tcW w:w="811" w:type="dxa"/>
            <w:hideMark/>
          </w:tcPr>
          <w:p w14:paraId="4857C97F" w14:textId="77777777" w:rsidR="00F305AF" w:rsidRPr="001D72FB" w:rsidRDefault="00F305AF" w:rsidP="001D72FB">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 xml:space="preserve">Item number </w:t>
            </w:r>
          </w:p>
        </w:tc>
        <w:tc>
          <w:tcPr>
            <w:tcW w:w="2081" w:type="dxa"/>
            <w:hideMark/>
          </w:tcPr>
          <w:p w14:paraId="6AD9DECE" w14:textId="77777777" w:rsidR="00F305AF" w:rsidRPr="001D72FB" w:rsidRDefault="00F305AF" w:rsidP="001D72F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Item/Milestone Required</w:t>
            </w:r>
          </w:p>
        </w:tc>
        <w:tc>
          <w:tcPr>
            <w:tcW w:w="0" w:type="auto"/>
            <w:hideMark/>
          </w:tcPr>
          <w:p w14:paraId="43458497" w14:textId="77777777" w:rsidR="00F305AF" w:rsidRPr="001D72FB" w:rsidRDefault="00F305AF" w:rsidP="001D72F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Required UOM</w:t>
            </w:r>
          </w:p>
        </w:tc>
        <w:tc>
          <w:tcPr>
            <w:tcW w:w="0" w:type="auto"/>
            <w:hideMark/>
          </w:tcPr>
          <w:p w14:paraId="5CFC6327" w14:textId="77777777" w:rsidR="00F305AF" w:rsidRPr="001D72FB" w:rsidRDefault="00F305AF" w:rsidP="001D72F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Estimated Qty</w:t>
            </w:r>
          </w:p>
        </w:tc>
        <w:tc>
          <w:tcPr>
            <w:tcW w:w="0" w:type="auto"/>
            <w:hideMark/>
          </w:tcPr>
          <w:p w14:paraId="5974C840" w14:textId="4B6B6D5E" w:rsidR="00F305AF" w:rsidRPr="001D72FB" w:rsidRDefault="00F305AF" w:rsidP="001D72F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Unit Price in USD, Exclusive VAT rated at 11%, but inclusive Labor,</w:t>
            </w:r>
            <w:r w:rsidR="00D6416C">
              <w:rPr>
                <w:rFonts w:eastAsia="Times New Roman" w:cstheme="minorHAnsi"/>
                <w:b/>
                <w:bCs/>
                <w:color w:val="000000"/>
                <w:sz w:val="18"/>
                <w:szCs w:val="18"/>
                <w:lang w:val="en-US"/>
              </w:rPr>
              <w:t xml:space="preserve"> </w:t>
            </w:r>
            <w:r w:rsidRPr="001D72FB">
              <w:rPr>
                <w:rFonts w:eastAsia="Times New Roman" w:cstheme="minorHAnsi"/>
                <w:b/>
                <w:bCs/>
                <w:color w:val="000000"/>
                <w:sz w:val="18"/>
                <w:szCs w:val="18"/>
                <w:lang w:val="en-US"/>
              </w:rPr>
              <w:t xml:space="preserve">Bank Transfer Fees, and Delivery fees </w:t>
            </w:r>
          </w:p>
        </w:tc>
        <w:tc>
          <w:tcPr>
            <w:tcW w:w="0" w:type="auto"/>
            <w:hideMark/>
          </w:tcPr>
          <w:p w14:paraId="70332D78" w14:textId="77777777" w:rsidR="00F305AF" w:rsidRPr="001D72FB" w:rsidRDefault="00F305AF" w:rsidP="001D72F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VAT (%)</w:t>
            </w:r>
          </w:p>
        </w:tc>
        <w:tc>
          <w:tcPr>
            <w:tcW w:w="0" w:type="auto"/>
            <w:hideMark/>
          </w:tcPr>
          <w:p w14:paraId="766435D9" w14:textId="734F7E45" w:rsidR="00F305AF" w:rsidRPr="001D72FB" w:rsidRDefault="00F305AF" w:rsidP="001D72F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xml:space="preserve">Unit Price in USD, inclusive VAT, Labor, Bank Transfer Fees, and Delivery and all other fees </w:t>
            </w:r>
          </w:p>
        </w:tc>
        <w:tc>
          <w:tcPr>
            <w:tcW w:w="0" w:type="auto"/>
          </w:tcPr>
          <w:p w14:paraId="71D7E05D" w14:textId="4BAC1613" w:rsidR="00F305AF" w:rsidRDefault="00F305AF" w:rsidP="001D72F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Pr>
                <w:rFonts w:eastAsia="Times New Roman" w:cstheme="minorHAnsi"/>
                <w:b/>
                <w:bCs/>
                <w:color w:val="000000"/>
                <w:sz w:val="18"/>
                <w:szCs w:val="18"/>
                <w:lang w:val="en-US"/>
              </w:rPr>
              <w:t xml:space="preserve">Total </w:t>
            </w:r>
            <w:r w:rsidRPr="001D72FB">
              <w:rPr>
                <w:rFonts w:eastAsia="Times New Roman" w:cstheme="minorHAnsi"/>
                <w:b/>
                <w:bCs/>
                <w:color w:val="000000"/>
                <w:sz w:val="18"/>
                <w:szCs w:val="18"/>
                <w:lang w:val="en-US"/>
              </w:rPr>
              <w:t>Price in USD, inclusive VAT, Labor, Bank Transfer Fees, and Delivery and all other fees</w:t>
            </w:r>
          </w:p>
        </w:tc>
        <w:tc>
          <w:tcPr>
            <w:tcW w:w="0" w:type="auto"/>
          </w:tcPr>
          <w:p w14:paraId="781B6031" w14:textId="21707226" w:rsidR="00F305AF" w:rsidRPr="001D72FB" w:rsidRDefault="00F305AF" w:rsidP="001D72F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Pr>
                <w:rFonts w:eastAsia="Times New Roman" w:cstheme="minorHAnsi"/>
                <w:b/>
                <w:bCs/>
                <w:color w:val="000000"/>
                <w:sz w:val="18"/>
                <w:szCs w:val="18"/>
                <w:lang w:val="en-US"/>
              </w:rPr>
              <w:t xml:space="preserve">Lead time of delivery for any quantity from the date of each purchase order </w:t>
            </w:r>
          </w:p>
        </w:tc>
      </w:tr>
      <w:tr w:rsidR="009E71A0" w:rsidRPr="00B25B2C" w14:paraId="46D9AE80" w14:textId="77777777" w:rsidTr="00D6416C">
        <w:trPr>
          <w:trHeight w:val="773"/>
        </w:trPr>
        <w:tc>
          <w:tcPr>
            <w:cnfStyle w:val="001000000000" w:firstRow="0" w:lastRow="0" w:firstColumn="1" w:lastColumn="0" w:oddVBand="0" w:evenVBand="0" w:oddHBand="0" w:evenHBand="0" w:firstRowFirstColumn="0" w:firstRowLastColumn="0" w:lastRowFirstColumn="0" w:lastRowLastColumn="0"/>
            <w:tcW w:w="811" w:type="dxa"/>
          </w:tcPr>
          <w:p w14:paraId="1F0BD269" w14:textId="77777777" w:rsidR="00D6416C" w:rsidRDefault="00D6416C" w:rsidP="009E71A0">
            <w:pPr>
              <w:jc w:val="center"/>
              <w:rPr>
                <w:rFonts w:eastAsia="Times New Roman" w:cstheme="minorHAnsi"/>
                <w:b w:val="0"/>
                <w:bCs w:val="0"/>
                <w:color w:val="000000"/>
                <w:sz w:val="18"/>
                <w:szCs w:val="18"/>
                <w:lang w:val="en-US"/>
              </w:rPr>
            </w:pPr>
          </w:p>
          <w:p w14:paraId="687CB90D" w14:textId="3E0348C7" w:rsidR="009E71A0" w:rsidRPr="001D72FB" w:rsidRDefault="009E71A0" w:rsidP="009E71A0">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1.</w:t>
            </w:r>
            <w:r>
              <w:rPr>
                <w:rFonts w:eastAsia="Times New Roman" w:cstheme="minorHAnsi"/>
                <w:color w:val="000000"/>
                <w:sz w:val="18"/>
                <w:szCs w:val="18"/>
                <w:lang w:val="en-US"/>
              </w:rPr>
              <w:t>1</w:t>
            </w:r>
          </w:p>
        </w:tc>
        <w:tc>
          <w:tcPr>
            <w:tcW w:w="2081" w:type="dxa"/>
          </w:tcPr>
          <w:p w14:paraId="450E03F1" w14:textId="77777777" w:rsidR="00D6416C" w:rsidRDefault="00D6416C" w:rsidP="009E71A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p w14:paraId="13D42575" w14:textId="41F3E7BD" w:rsidR="009E71A0" w:rsidRPr="001D72FB" w:rsidRDefault="00D6416C" w:rsidP="00D6416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Pr>
                <w:rFonts w:eastAsia="Times New Roman" w:cstheme="minorHAnsi"/>
                <w:b/>
                <w:bCs/>
                <w:color w:val="000000"/>
                <w:sz w:val="18"/>
                <w:szCs w:val="18"/>
                <w:lang w:val="en-US"/>
              </w:rPr>
              <w:t>Chemical Detector</w:t>
            </w:r>
          </w:p>
        </w:tc>
        <w:tc>
          <w:tcPr>
            <w:tcW w:w="0" w:type="auto"/>
          </w:tcPr>
          <w:p w14:paraId="0C5FAFBD" w14:textId="77777777" w:rsidR="00D6416C" w:rsidRDefault="00D6416C" w:rsidP="00D6416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p w14:paraId="4CADA509" w14:textId="575C5618" w:rsidR="009E71A0" w:rsidRPr="001D72FB" w:rsidRDefault="00D6416C" w:rsidP="00D6416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Pr>
                <w:rFonts w:eastAsia="Times New Roman" w:cstheme="minorHAnsi"/>
                <w:b/>
                <w:bCs/>
                <w:color w:val="000000"/>
                <w:sz w:val="18"/>
                <w:szCs w:val="18"/>
                <w:lang w:val="en-US"/>
              </w:rPr>
              <w:t>Piece</w:t>
            </w:r>
          </w:p>
        </w:tc>
        <w:tc>
          <w:tcPr>
            <w:tcW w:w="0" w:type="auto"/>
          </w:tcPr>
          <w:p w14:paraId="7AFA335A" w14:textId="77777777" w:rsidR="00D6416C" w:rsidRDefault="00D6416C" w:rsidP="00D6416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p w14:paraId="3CA13891" w14:textId="4DE5910B" w:rsidR="009E71A0" w:rsidRPr="001D72FB" w:rsidRDefault="00D6416C" w:rsidP="00D6416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Pr>
                <w:rFonts w:eastAsia="Times New Roman" w:cstheme="minorHAnsi"/>
                <w:b/>
                <w:bCs/>
                <w:color w:val="000000"/>
                <w:sz w:val="18"/>
                <w:szCs w:val="18"/>
                <w:lang w:val="en-US"/>
              </w:rPr>
              <w:t>4</w:t>
            </w:r>
          </w:p>
        </w:tc>
        <w:tc>
          <w:tcPr>
            <w:tcW w:w="0" w:type="auto"/>
          </w:tcPr>
          <w:p w14:paraId="1003D48A" w14:textId="77777777" w:rsidR="009E71A0" w:rsidRPr="001D72FB" w:rsidRDefault="009E71A0" w:rsidP="009E71A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c>
          <w:tcPr>
            <w:tcW w:w="0" w:type="auto"/>
          </w:tcPr>
          <w:p w14:paraId="7DFD7F01" w14:textId="77777777" w:rsidR="009E71A0" w:rsidRPr="001D72FB" w:rsidRDefault="009E71A0" w:rsidP="009E71A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c>
          <w:tcPr>
            <w:tcW w:w="0" w:type="auto"/>
          </w:tcPr>
          <w:p w14:paraId="00FE5782" w14:textId="77777777" w:rsidR="009E71A0" w:rsidRPr="001D72FB" w:rsidRDefault="009E71A0" w:rsidP="009E71A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c>
          <w:tcPr>
            <w:tcW w:w="0" w:type="auto"/>
          </w:tcPr>
          <w:p w14:paraId="386FB95E" w14:textId="77777777" w:rsidR="009E71A0" w:rsidRDefault="009E71A0" w:rsidP="009E71A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c>
          <w:tcPr>
            <w:tcW w:w="0" w:type="auto"/>
          </w:tcPr>
          <w:p w14:paraId="31272C42" w14:textId="77777777" w:rsidR="009E71A0" w:rsidRDefault="009E71A0" w:rsidP="009E71A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r>
    </w:tbl>
    <w:p w14:paraId="0D152D6D" w14:textId="77777777" w:rsidR="00F305AF" w:rsidRDefault="00F305AF" w:rsidP="00B25B2C">
      <w:pPr>
        <w:rPr>
          <w:rFonts w:cstheme="minorHAnsi"/>
          <w:b/>
          <w:bCs/>
          <w:color w:val="0070C0"/>
          <w:u w:val="single"/>
        </w:rPr>
      </w:pPr>
    </w:p>
    <w:p w14:paraId="46F9A979" w14:textId="77777777" w:rsidR="00F305AF" w:rsidRDefault="00F305AF" w:rsidP="00B25B2C">
      <w:pPr>
        <w:rPr>
          <w:rFonts w:cstheme="minorHAnsi"/>
          <w:b/>
          <w:bCs/>
          <w:color w:val="0070C0"/>
          <w:u w:val="single"/>
        </w:rPr>
      </w:pPr>
    </w:p>
    <w:p w14:paraId="69A79D33" w14:textId="6DA5F6E1" w:rsidR="00E3743D" w:rsidRPr="00E3743D" w:rsidRDefault="00E3743D" w:rsidP="00B25B2C">
      <w:pPr>
        <w:rPr>
          <w:rFonts w:cstheme="minorHAnsi"/>
          <w:lang w:val="en-US"/>
        </w:rPr>
        <w:sectPr w:rsidR="00E3743D" w:rsidRPr="00E3743D" w:rsidSect="004845E8">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6" w:footer="706" w:gutter="0"/>
          <w:cols w:space="708"/>
          <w:docGrid w:linePitch="360"/>
        </w:sectPr>
      </w:pPr>
    </w:p>
    <w:p w14:paraId="2EC4180B" w14:textId="328BEF04" w:rsidR="007D5168" w:rsidRDefault="000330F9" w:rsidP="00662679">
      <w:pPr>
        <w:pStyle w:val="Heading2"/>
        <w:spacing w:before="0" w:line="240" w:lineRule="auto"/>
        <w:jc w:val="both"/>
        <w:rPr>
          <w:rFonts w:asciiTheme="minorHAnsi" w:hAnsiTheme="minorHAnsi" w:cstheme="minorHAnsi"/>
          <w:smallCaps/>
          <w:color w:val="C00000"/>
          <w:sz w:val="22"/>
          <w:szCs w:val="22"/>
        </w:rPr>
      </w:pPr>
      <w:r w:rsidRPr="000330F9">
        <w:rPr>
          <w:rFonts w:asciiTheme="minorHAnsi" w:hAnsiTheme="minorHAnsi" w:cstheme="minorHAnsi"/>
          <w:smallCaps/>
          <w:color w:val="C00000"/>
          <w:sz w:val="22"/>
          <w:szCs w:val="22"/>
        </w:rPr>
        <w:lastRenderedPageBreak/>
        <w:t>ANNEX 3: DETAILED SPECIFICATIONS</w:t>
      </w:r>
      <w:r w:rsidR="000C7C3A">
        <w:rPr>
          <w:rFonts w:asciiTheme="minorHAnsi" w:hAnsiTheme="minorHAnsi" w:cstheme="minorHAnsi"/>
          <w:smallCaps/>
          <w:color w:val="C00000"/>
          <w:sz w:val="22"/>
          <w:szCs w:val="22"/>
        </w:rPr>
        <w:t xml:space="preserve"> </w:t>
      </w:r>
    </w:p>
    <w:p w14:paraId="6921BBDC" w14:textId="77777777" w:rsidR="004845E8" w:rsidRDefault="004845E8" w:rsidP="004845E8">
      <w:pPr>
        <w:spacing w:after="0" w:line="240" w:lineRule="auto"/>
      </w:pPr>
    </w:p>
    <w:tbl>
      <w:tblPr>
        <w:tblStyle w:val="ListTable4-Accent1"/>
        <w:tblW w:w="10800" w:type="dxa"/>
        <w:tblInd w:w="-905" w:type="dxa"/>
        <w:tblLayout w:type="fixed"/>
        <w:tblLook w:val="04A0" w:firstRow="1" w:lastRow="0" w:firstColumn="1" w:lastColumn="0" w:noHBand="0" w:noVBand="1"/>
      </w:tblPr>
      <w:tblGrid>
        <w:gridCol w:w="810"/>
        <w:gridCol w:w="2160"/>
        <w:gridCol w:w="1170"/>
        <w:gridCol w:w="6660"/>
      </w:tblGrid>
      <w:tr w:rsidR="007A42C9" w:rsidRPr="007A42C9" w14:paraId="740EF55C" w14:textId="77777777" w:rsidTr="007A42C9">
        <w:trPr>
          <w:cnfStyle w:val="100000000000" w:firstRow="1" w:lastRow="0" w:firstColumn="0" w:lastColumn="0" w:oddVBand="0" w:evenVBand="0" w:oddHBand="0" w:evenHBand="0" w:firstRowFirstColumn="0" w:firstRowLastColumn="0" w:lastRowFirstColumn="0" w:lastRowLastColumn="0"/>
          <w:trHeight w:val="41"/>
        </w:trPr>
        <w:tc>
          <w:tcPr>
            <w:cnfStyle w:val="001000000000" w:firstRow="0" w:lastRow="0" w:firstColumn="1" w:lastColumn="0" w:oddVBand="0" w:evenVBand="0" w:oddHBand="0" w:evenHBand="0" w:firstRowFirstColumn="0" w:firstRowLastColumn="0" w:lastRowFirstColumn="0" w:lastRowLastColumn="0"/>
            <w:tcW w:w="810" w:type="dxa"/>
            <w:shd w:val="clear" w:color="auto" w:fill="0070C0"/>
            <w:noWrap/>
            <w:hideMark/>
          </w:tcPr>
          <w:p w14:paraId="51C2B347" w14:textId="77777777" w:rsidR="007A42C9" w:rsidRPr="007A42C9" w:rsidRDefault="007A42C9" w:rsidP="007A42C9">
            <w:pPr>
              <w:jc w:val="center"/>
              <w:rPr>
                <w:rFonts w:eastAsia="Times New Roman" w:cstheme="minorHAnsi"/>
                <w:color w:val="000000"/>
                <w:sz w:val="16"/>
                <w:szCs w:val="16"/>
                <w:lang w:val="en-US"/>
              </w:rPr>
            </w:pPr>
            <w:r w:rsidRPr="007A42C9">
              <w:rPr>
                <w:rFonts w:eastAsia="Times New Roman" w:cstheme="minorHAnsi"/>
                <w:color w:val="000000"/>
                <w:sz w:val="16"/>
                <w:szCs w:val="16"/>
                <w:lang w:val="en-US"/>
              </w:rPr>
              <w:t>Lot 1</w:t>
            </w:r>
          </w:p>
        </w:tc>
        <w:tc>
          <w:tcPr>
            <w:tcW w:w="2160" w:type="dxa"/>
            <w:shd w:val="clear" w:color="auto" w:fill="0070C0"/>
            <w:noWrap/>
            <w:hideMark/>
          </w:tcPr>
          <w:p w14:paraId="356479C5" w14:textId="398902A0" w:rsidR="007A42C9" w:rsidRPr="007A42C9" w:rsidRDefault="007A42C9" w:rsidP="007A42C9">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rPr>
            </w:pPr>
          </w:p>
        </w:tc>
        <w:tc>
          <w:tcPr>
            <w:tcW w:w="1170" w:type="dxa"/>
            <w:shd w:val="clear" w:color="auto" w:fill="0070C0"/>
            <w:noWrap/>
            <w:hideMark/>
          </w:tcPr>
          <w:p w14:paraId="6AA03F46" w14:textId="77777777" w:rsidR="007A42C9" w:rsidRPr="007A42C9" w:rsidRDefault="007A42C9" w:rsidP="007A42C9">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rPr>
            </w:pPr>
          </w:p>
        </w:tc>
        <w:tc>
          <w:tcPr>
            <w:tcW w:w="6660" w:type="dxa"/>
            <w:shd w:val="clear" w:color="auto" w:fill="0070C0"/>
            <w:noWrap/>
            <w:hideMark/>
          </w:tcPr>
          <w:p w14:paraId="20A84FED" w14:textId="77777777" w:rsidR="007A42C9" w:rsidRPr="007A42C9" w:rsidRDefault="007A42C9" w:rsidP="007A42C9">
            <w:pP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val="en-US"/>
              </w:rPr>
            </w:pPr>
          </w:p>
        </w:tc>
      </w:tr>
      <w:tr w:rsidR="007A42C9" w:rsidRPr="007A42C9" w14:paraId="34BDBFEB" w14:textId="77777777" w:rsidTr="00D6416C">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810" w:type="dxa"/>
            <w:hideMark/>
          </w:tcPr>
          <w:p w14:paraId="7CE7C873" w14:textId="77777777" w:rsidR="007A42C9" w:rsidRPr="007A42C9" w:rsidRDefault="007A42C9" w:rsidP="007A42C9">
            <w:pPr>
              <w:jc w:val="center"/>
              <w:rPr>
                <w:rFonts w:eastAsia="Times New Roman" w:cstheme="minorHAnsi"/>
                <w:color w:val="000000"/>
                <w:sz w:val="16"/>
                <w:szCs w:val="16"/>
                <w:lang w:val="en-US"/>
              </w:rPr>
            </w:pPr>
            <w:r w:rsidRPr="007A42C9">
              <w:rPr>
                <w:rFonts w:eastAsia="Times New Roman" w:cstheme="minorHAnsi"/>
                <w:color w:val="000000"/>
                <w:sz w:val="16"/>
                <w:szCs w:val="16"/>
                <w:lang w:val="en-US"/>
              </w:rPr>
              <w:t>ITEM #</w:t>
            </w:r>
          </w:p>
        </w:tc>
        <w:tc>
          <w:tcPr>
            <w:tcW w:w="2160" w:type="dxa"/>
            <w:hideMark/>
          </w:tcPr>
          <w:p w14:paraId="6301D1B2"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 xml:space="preserve">ITEM/MILESTONE REQUIRED </w:t>
            </w:r>
          </w:p>
        </w:tc>
        <w:tc>
          <w:tcPr>
            <w:tcW w:w="1170" w:type="dxa"/>
            <w:hideMark/>
          </w:tcPr>
          <w:p w14:paraId="57D6857C"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UOM</w:t>
            </w:r>
          </w:p>
        </w:tc>
        <w:tc>
          <w:tcPr>
            <w:tcW w:w="6660" w:type="dxa"/>
            <w:hideMark/>
          </w:tcPr>
          <w:p w14:paraId="5BCBCE7F"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 xml:space="preserve">DESCRIPTION </w:t>
            </w:r>
          </w:p>
        </w:tc>
      </w:tr>
      <w:tr w:rsidR="00A44684" w:rsidRPr="007A42C9" w14:paraId="4AF62BA7" w14:textId="77777777" w:rsidTr="006B6099">
        <w:trPr>
          <w:trHeight w:val="1853"/>
        </w:trPr>
        <w:tc>
          <w:tcPr>
            <w:cnfStyle w:val="001000000000" w:firstRow="0" w:lastRow="0" w:firstColumn="1" w:lastColumn="0" w:oddVBand="0" w:evenVBand="0" w:oddHBand="0" w:evenHBand="0" w:firstRowFirstColumn="0" w:firstRowLastColumn="0" w:lastRowFirstColumn="0" w:lastRowLastColumn="0"/>
            <w:tcW w:w="810" w:type="dxa"/>
          </w:tcPr>
          <w:p w14:paraId="3F6ADFDA" w14:textId="77777777" w:rsidR="00A44684" w:rsidRPr="00A44684" w:rsidRDefault="00A44684" w:rsidP="00A44684">
            <w:pPr>
              <w:jc w:val="center"/>
              <w:rPr>
                <w:rFonts w:eastAsia="Times New Roman" w:cstheme="minorHAnsi"/>
                <w:color w:val="000000"/>
                <w:sz w:val="18"/>
                <w:szCs w:val="18"/>
                <w:lang w:val="en-US"/>
              </w:rPr>
            </w:pPr>
          </w:p>
          <w:p w14:paraId="229B867B" w14:textId="77777777" w:rsidR="00A44684" w:rsidRPr="00A44684" w:rsidRDefault="00A44684" w:rsidP="00A44684">
            <w:pPr>
              <w:jc w:val="center"/>
              <w:rPr>
                <w:rFonts w:eastAsia="Times New Roman" w:cstheme="minorHAnsi"/>
                <w:color w:val="000000"/>
                <w:sz w:val="18"/>
                <w:szCs w:val="18"/>
                <w:lang w:val="en-US"/>
              </w:rPr>
            </w:pPr>
          </w:p>
          <w:p w14:paraId="10C854E9" w14:textId="77777777" w:rsidR="00A44684" w:rsidRPr="00A44684" w:rsidRDefault="00A44684" w:rsidP="00A44684">
            <w:pPr>
              <w:jc w:val="center"/>
              <w:rPr>
                <w:rFonts w:eastAsia="Times New Roman" w:cstheme="minorHAnsi"/>
                <w:color w:val="000000"/>
                <w:sz w:val="18"/>
                <w:szCs w:val="18"/>
                <w:lang w:val="en-US"/>
              </w:rPr>
            </w:pPr>
          </w:p>
          <w:p w14:paraId="4A9EA243" w14:textId="77777777" w:rsidR="00A44684" w:rsidRPr="00A44684" w:rsidRDefault="00A44684" w:rsidP="00A44684">
            <w:pPr>
              <w:jc w:val="center"/>
              <w:rPr>
                <w:rFonts w:eastAsia="Times New Roman" w:cstheme="minorHAnsi"/>
                <w:color w:val="000000"/>
                <w:sz w:val="18"/>
                <w:szCs w:val="18"/>
                <w:lang w:val="en-US"/>
              </w:rPr>
            </w:pPr>
          </w:p>
          <w:p w14:paraId="6C972308" w14:textId="77777777" w:rsidR="00A44684" w:rsidRPr="00A44684" w:rsidRDefault="00A44684" w:rsidP="00A44684">
            <w:pPr>
              <w:jc w:val="center"/>
              <w:rPr>
                <w:rFonts w:eastAsia="Times New Roman" w:cstheme="minorHAnsi"/>
                <w:color w:val="000000"/>
                <w:sz w:val="18"/>
                <w:szCs w:val="18"/>
                <w:lang w:val="en-US"/>
              </w:rPr>
            </w:pPr>
          </w:p>
          <w:p w14:paraId="7EEB4A50" w14:textId="77777777" w:rsidR="00A44684" w:rsidRPr="00A44684" w:rsidRDefault="00A44684" w:rsidP="00A44684">
            <w:pPr>
              <w:jc w:val="center"/>
              <w:rPr>
                <w:rFonts w:eastAsia="Times New Roman" w:cstheme="minorHAnsi"/>
                <w:color w:val="000000"/>
                <w:sz w:val="18"/>
                <w:szCs w:val="18"/>
                <w:lang w:val="en-US"/>
              </w:rPr>
            </w:pPr>
          </w:p>
          <w:p w14:paraId="3A155117" w14:textId="77777777" w:rsidR="00A44684" w:rsidRPr="00A44684" w:rsidRDefault="00A44684" w:rsidP="00A44684">
            <w:pPr>
              <w:jc w:val="center"/>
              <w:rPr>
                <w:rFonts w:eastAsia="Times New Roman" w:cstheme="minorHAnsi"/>
                <w:color w:val="000000"/>
                <w:sz w:val="18"/>
                <w:szCs w:val="18"/>
                <w:lang w:val="en-US"/>
              </w:rPr>
            </w:pPr>
          </w:p>
          <w:p w14:paraId="07719F97" w14:textId="021A862A" w:rsidR="00A44684" w:rsidRPr="00A44684" w:rsidRDefault="00A44684" w:rsidP="00A44684">
            <w:pPr>
              <w:jc w:val="center"/>
              <w:rPr>
                <w:rFonts w:eastAsia="Times New Roman" w:cstheme="minorHAnsi"/>
                <w:color w:val="000000"/>
                <w:sz w:val="18"/>
                <w:szCs w:val="18"/>
                <w:lang w:val="en-US"/>
              </w:rPr>
            </w:pPr>
            <w:r w:rsidRPr="00A44684">
              <w:rPr>
                <w:rFonts w:eastAsia="Times New Roman" w:cstheme="minorHAnsi"/>
                <w:color w:val="000000"/>
                <w:sz w:val="18"/>
                <w:szCs w:val="18"/>
                <w:lang w:val="en-US"/>
              </w:rPr>
              <w:t>1.1</w:t>
            </w:r>
          </w:p>
        </w:tc>
        <w:tc>
          <w:tcPr>
            <w:tcW w:w="2160" w:type="dxa"/>
          </w:tcPr>
          <w:p w14:paraId="4E99B62D" w14:textId="77777777" w:rsidR="00A44684" w:rsidRPr="00A44684" w:rsidRDefault="00A44684" w:rsidP="00A44684">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p w14:paraId="76312725" w14:textId="77777777" w:rsidR="00A44684" w:rsidRPr="00A44684" w:rsidRDefault="00A44684" w:rsidP="00A44684">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p w14:paraId="5F14FEA3" w14:textId="77777777" w:rsidR="00A44684" w:rsidRPr="00A44684" w:rsidRDefault="00A44684" w:rsidP="00A44684">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p w14:paraId="2C6F5DDE" w14:textId="77777777" w:rsidR="00A44684" w:rsidRPr="00A44684" w:rsidRDefault="00A44684" w:rsidP="00A44684">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p w14:paraId="4EA1B849" w14:textId="77777777" w:rsidR="00A44684" w:rsidRPr="00A44684" w:rsidRDefault="00A44684" w:rsidP="00A44684">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p w14:paraId="6308668D" w14:textId="77777777" w:rsidR="00A44684" w:rsidRPr="00A44684" w:rsidRDefault="00A44684" w:rsidP="00A44684">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p w14:paraId="1360FC07" w14:textId="77777777" w:rsidR="00A44684" w:rsidRPr="00A44684" w:rsidRDefault="00A44684" w:rsidP="00A44684">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p w14:paraId="2D0406D9" w14:textId="0896EF3E" w:rsidR="00A44684" w:rsidRPr="00A44684" w:rsidRDefault="00A44684" w:rsidP="00A44684">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A44684">
              <w:rPr>
                <w:rFonts w:eastAsia="Times New Roman" w:cstheme="minorHAnsi"/>
                <w:b/>
                <w:bCs/>
                <w:color w:val="000000"/>
                <w:sz w:val="18"/>
                <w:szCs w:val="18"/>
                <w:lang w:val="en-US"/>
              </w:rPr>
              <w:t>Chemical Detector</w:t>
            </w:r>
          </w:p>
        </w:tc>
        <w:tc>
          <w:tcPr>
            <w:tcW w:w="1170" w:type="dxa"/>
          </w:tcPr>
          <w:p w14:paraId="48FBC6FD" w14:textId="77777777" w:rsidR="00A44684" w:rsidRPr="00A44684" w:rsidRDefault="00A44684" w:rsidP="00A44684">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p w14:paraId="7103C66A" w14:textId="77777777" w:rsidR="00A44684" w:rsidRPr="00A44684" w:rsidRDefault="00A44684" w:rsidP="00A44684">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p w14:paraId="7DBE2334" w14:textId="77777777" w:rsidR="00A44684" w:rsidRPr="00A44684" w:rsidRDefault="00A44684" w:rsidP="00A44684">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p w14:paraId="409E307F" w14:textId="77777777" w:rsidR="00A44684" w:rsidRPr="00A44684" w:rsidRDefault="00A44684" w:rsidP="00A44684">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p w14:paraId="05190049" w14:textId="77777777" w:rsidR="00A44684" w:rsidRPr="00A44684" w:rsidRDefault="00A44684" w:rsidP="00A44684">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p w14:paraId="6BB032E4" w14:textId="77777777" w:rsidR="00A44684" w:rsidRPr="00A44684" w:rsidRDefault="00A44684" w:rsidP="00A44684">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p w14:paraId="69F6BB1E" w14:textId="77777777" w:rsidR="00A44684" w:rsidRPr="00A44684" w:rsidRDefault="00A44684" w:rsidP="00A44684">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p w14:paraId="0E878601" w14:textId="00E10931" w:rsidR="00A44684" w:rsidRPr="00A44684" w:rsidRDefault="00A44684" w:rsidP="00A44684">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A44684">
              <w:rPr>
                <w:rFonts w:eastAsia="Times New Roman" w:cstheme="minorHAnsi"/>
                <w:b/>
                <w:bCs/>
                <w:color w:val="000000"/>
                <w:sz w:val="18"/>
                <w:szCs w:val="18"/>
                <w:lang w:val="en-US"/>
              </w:rPr>
              <w:t>Piece</w:t>
            </w:r>
          </w:p>
        </w:tc>
        <w:tc>
          <w:tcPr>
            <w:tcW w:w="6660" w:type="dxa"/>
          </w:tcPr>
          <w:p w14:paraId="467E0495" w14:textId="77777777" w:rsidR="00A44684" w:rsidRPr="00A44684" w:rsidRDefault="00A44684" w:rsidP="00A44684">
            <w:pPr>
              <w:numPr>
                <w:ilvl w:val="0"/>
                <w:numId w:val="33"/>
              </w:numPr>
              <w:shd w:val="clear" w:color="auto" w:fill="FFFFFF"/>
              <w:ind w:left="0"/>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A0A0A"/>
                <w:sz w:val="18"/>
                <w:szCs w:val="18"/>
              </w:rPr>
            </w:pPr>
            <w:r w:rsidRPr="00A44684">
              <w:rPr>
                <w:rFonts w:ascii="Arial" w:eastAsia="Times New Roman" w:hAnsi="Arial" w:cs="Arial"/>
                <w:b/>
                <w:bCs/>
                <w:color w:val="0A0A0A"/>
                <w:sz w:val="18"/>
                <w:szCs w:val="18"/>
              </w:rPr>
              <w:t>Detection Technology:</w:t>
            </w:r>
            <w:r w:rsidRPr="00A44684">
              <w:rPr>
                <w:rFonts w:ascii="Arial" w:eastAsia="Times New Roman" w:hAnsi="Arial" w:cs="Arial"/>
                <w:color w:val="0A0A0A"/>
                <w:sz w:val="18"/>
                <w:szCs w:val="18"/>
              </w:rPr>
              <w:t> Primarily Ion Mobility Spectrometry (IMS) or Fourier Transform Infrared (FTIR) for standoff detection.</w:t>
            </w:r>
          </w:p>
          <w:p w14:paraId="6B82AA0F" w14:textId="77777777" w:rsidR="00A44684" w:rsidRPr="00A44684" w:rsidRDefault="00A44684" w:rsidP="00A44684">
            <w:pPr>
              <w:numPr>
                <w:ilvl w:val="0"/>
                <w:numId w:val="33"/>
              </w:numPr>
              <w:shd w:val="clear" w:color="auto" w:fill="FFFFFF"/>
              <w:ind w:left="0"/>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A0A0A"/>
                <w:sz w:val="18"/>
                <w:szCs w:val="18"/>
              </w:rPr>
            </w:pPr>
            <w:r w:rsidRPr="00A44684">
              <w:rPr>
                <w:rFonts w:ascii="Arial" w:eastAsia="Times New Roman" w:hAnsi="Arial" w:cs="Arial"/>
                <w:b/>
                <w:bCs/>
                <w:color w:val="0A0A0A"/>
                <w:sz w:val="18"/>
                <w:szCs w:val="18"/>
              </w:rPr>
              <w:t>Target Agents:</w:t>
            </w:r>
            <w:r w:rsidRPr="00A44684">
              <w:rPr>
                <w:rFonts w:ascii="Arial" w:eastAsia="Times New Roman" w:hAnsi="Arial" w:cs="Arial"/>
                <w:color w:val="0A0A0A"/>
                <w:sz w:val="18"/>
                <w:szCs w:val="18"/>
              </w:rPr>
              <w:t> Nerve, Blister, Blood, Choking, and Toxic Industrial Chemicals (TICs).</w:t>
            </w:r>
          </w:p>
          <w:p w14:paraId="0EC2EACD" w14:textId="77777777" w:rsidR="00A44684" w:rsidRPr="00A44684" w:rsidRDefault="00A44684" w:rsidP="00A44684">
            <w:pPr>
              <w:numPr>
                <w:ilvl w:val="0"/>
                <w:numId w:val="33"/>
              </w:numPr>
              <w:shd w:val="clear" w:color="auto" w:fill="FFFFFF"/>
              <w:ind w:left="0"/>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A0A0A"/>
                <w:sz w:val="18"/>
                <w:szCs w:val="18"/>
              </w:rPr>
            </w:pPr>
            <w:r w:rsidRPr="00A44684">
              <w:rPr>
                <w:rFonts w:ascii="Arial" w:eastAsia="Times New Roman" w:hAnsi="Arial" w:cs="Arial"/>
                <w:b/>
                <w:bCs/>
                <w:color w:val="0A0A0A"/>
                <w:sz w:val="18"/>
                <w:szCs w:val="18"/>
              </w:rPr>
              <w:t>Response Time:</w:t>
            </w:r>
            <w:r w:rsidRPr="00A44684">
              <w:rPr>
                <w:rFonts w:ascii="Arial" w:eastAsia="Times New Roman" w:hAnsi="Arial" w:cs="Arial"/>
                <w:color w:val="0A0A0A"/>
                <w:sz w:val="18"/>
                <w:szCs w:val="18"/>
              </w:rPr>
              <w:t> Rapid, typically Maximum 10 seconds</w:t>
            </w:r>
          </w:p>
          <w:p w14:paraId="66B67CEF" w14:textId="77777777" w:rsidR="00A44684" w:rsidRPr="00A44684" w:rsidRDefault="00A44684" w:rsidP="00A44684">
            <w:pPr>
              <w:numPr>
                <w:ilvl w:val="0"/>
                <w:numId w:val="33"/>
              </w:numPr>
              <w:shd w:val="clear" w:color="auto" w:fill="FFFFFF"/>
              <w:ind w:left="0"/>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A0A0A"/>
                <w:sz w:val="18"/>
                <w:szCs w:val="18"/>
              </w:rPr>
            </w:pPr>
            <w:r w:rsidRPr="00A44684">
              <w:rPr>
                <w:rFonts w:ascii="Arial" w:eastAsia="Times New Roman" w:hAnsi="Arial" w:cs="Arial"/>
                <w:b/>
                <w:bCs/>
                <w:color w:val="0A0A0A"/>
                <w:sz w:val="18"/>
                <w:szCs w:val="18"/>
              </w:rPr>
              <w:t>Sensitivity:</w:t>
            </w:r>
            <w:r w:rsidRPr="00A44684">
              <w:rPr>
                <w:rFonts w:ascii="Arial" w:eastAsia="Times New Roman" w:hAnsi="Arial" w:cs="Arial"/>
                <w:color w:val="0A0A0A"/>
                <w:sz w:val="18"/>
                <w:szCs w:val="18"/>
              </w:rPr>
              <w:t> Often at parts-per-million (ppm) to parts-per-billion (ppb) levels.</w:t>
            </w:r>
          </w:p>
          <w:p w14:paraId="01E3BB17" w14:textId="77777777" w:rsidR="00A44684" w:rsidRPr="00A44684" w:rsidRDefault="00A44684" w:rsidP="00A44684">
            <w:pPr>
              <w:numPr>
                <w:ilvl w:val="0"/>
                <w:numId w:val="33"/>
              </w:numPr>
              <w:shd w:val="clear" w:color="auto" w:fill="FFFFFF"/>
              <w:ind w:left="0"/>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A44684">
              <w:rPr>
                <w:rFonts w:ascii="Arial" w:eastAsia="Times New Roman" w:hAnsi="Arial" w:cs="Arial"/>
                <w:b/>
                <w:bCs/>
                <w:color w:val="0A0A0A"/>
                <w:sz w:val="18"/>
                <w:szCs w:val="18"/>
              </w:rPr>
              <w:t>Operating Conditions:</w:t>
            </w:r>
            <w:r w:rsidRPr="00A44684">
              <w:rPr>
                <w:rFonts w:ascii="Arial" w:eastAsia="Times New Roman" w:hAnsi="Arial" w:cs="Arial"/>
                <w:color w:val="0A0A0A"/>
                <w:sz w:val="18"/>
                <w:szCs w:val="18"/>
              </w:rPr>
              <w:t> Wide range from roughly -30 to 50 C</w:t>
            </w:r>
          </w:p>
          <w:p w14:paraId="188D01CD" w14:textId="77777777" w:rsidR="00A44684" w:rsidRPr="00A44684" w:rsidRDefault="00A44684" w:rsidP="00A44684">
            <w:pPr>
              <w:numPr>
                <w:ilvl w:val="0"/>
                <w:numId w:val="33"/>
              </w:numPr>
              <w:shd w:val="clear" w:color="auto" w:fill="FFFFFF"/>
              <w:ind w:left="0"/>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A0A0A"/>
                <w:sz w:val="18"/>
                <w:szCs w:val="18"/>
              </w:rPr>
            </w:pPr>
            <w:r w:rsidRPr="00A44684">
              <w:rPr>
                <w:rFonts w:ascii="Arial" w:eastAsia="Times New Roman" w:hAnsi="Arial" w:cs="Arial"/>
                <w:b/>
                <w:bCs/>
                <w:color w:val="0A0A0A"/>
                <w:sz w:val="18"/>
                <w:szCs w:val="18"/>
              </w:rPr>
              <w:t>Power Supply:</w:t>
            </w:r>
            <w:r w:rsidRPr="00A44684">
              <w:rPr>
                <w:rFonts w:ascii="Arial" w:eastAsia="Times New Roman" w:hAnsi="Arial" w:cs="Arial"/>
                <w:color w:val="0A0A0A"/>
                <w:sz w:val="18"/>
                <w:szCs w:val="18"/>
              </w:rPr>
              <w:t> Lithium-ion or alkaline battery power, often lasting 40–75 hours.</w:t>
            </w:r>
          </w:p>
          <w:p w14:paraId="748AE1E6" w14:textId="77777777" w:rsidR="00A44684" w:rsidRPr="00A44684" w:rsidRDefault="00A44684" w:rsidP="00A44684">
            <w:pPr>
              <w:numPr>
                <w:ilvl w:val="0"/>
                <w:numId w:val="33"/>
              </w:numPr>
              <w:shd w:val="clear" w:color="auto" w:fill="FFFFFF"/>
              <w:ind w:left="0"/>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A0A0A"/>
                <w:sz w:val="18"/>
                <w:szCs w:val="18"/>
              </w:rPr>
            </w:pPr>
            <w:r w:rsidRPr="00A44684">
              <w:rPr>
                <w:rFonts w:ascii="Arial" w:eastAsia="Times New Roman" w:hAnsi="Arial" w:cs="Arial"/>
                <w:b/>
                <w:bCs/>
                <w:color w:val="0A0A0A"/>
                <w:sz w:val="18"/>
                <w:szCs w:val="18"/>
              </w:rPr>
              <w:t>Weight:</w:t>
            </w:r>
            <w:r w:rsidRPr="00A44684">
              <w:rPr>
                <w:rFonts w:ascii="Arial" w:eastAsia="Times New Roman" w:hAnsi="Arial" w:cs="Arial"/>
                <w:color w:val="0A0A0A"/>
                <w:sz w:val="18"/>
                <w:szCs w:val="18"/>
              </w:rPr>
              <w:t> Portable units are usually under 500 g to 2 kg.</w:t>
            </w:r>
          </w:p>
          <w:p w14:paraId="0F092FE4" w14:textId="77777777" w:rsidR="00A44684" w:rsidRPr="00A44684" w:rsidRDefault="00A44684" w:rsidP="00A44684">
            <w:pPr>
              <w:numPr>
                <w:ilvl w:val="0"/>
                <w:numId w:val="33"/>
              </w:numPr>
              <w:shd w:val="clear" w:color="auto" w:fill="FFFFFF"/>
              <w:ind w:left="0"/>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A0A0A"/>
                <w:sz w:val="18"/>
                <w:szCs w:val="18"/>
              </w:rPr>
            </w:pPr>
            <w:r w:rsidRPr="00A44684">
              <w:rPr>
                <w:rFonts w:ascii="Arial" w:eastAsia="Times New Roman" w:hAnsi="Arial" w:cs="Arial"/>
                <w:b/>
                <w:bCs/>
                <w:color w:val="0A0A0A"/>
                <w:sz w:val="18"/>
                <w:szCs w:val="18"/>
              </w:rPr>
              <w:t>Interface:</w:t>
            </w:r>
            <w:r w:rsidRPr="00A44684">
              <w:rPr>
                <w:rFonts w:ascii="Arial" w:eastAsia="Times New Roman" w:hAnsi="Arial" w:cs="Arial"/>
                <w:color w:val="0A0A0A"/>
                <w:sz w:val="18"/>
                <w:szCs w:val="18"/>
              </w:rPr>
              <w:t> Visual screen (showing agent type), audio alarms, and data logging capabilities.</w:t>
            </w:r>
          </w:p>
          <w:p w14:paraId="6E7EF0B4" w14:textId="77777777" w:rsidR="00A44684" w:rsidRPr="00A44684" w:rsidRDefault="00A44684" w:rsidP="00A44684">
            <w:pPr>
              <w:numPr>
                <w:ilvl w:val="0"/>
                <w:numId w:val="33"/>
              </w:numPr>
              <w:shd w:val="clear" w:color="auto" w:fill="FFFFFF"/>
              <w:ind w:left="0"/>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A0A0A"/>
                <w:sz w:val="18"/>
                <w:szCs w:val="18"/>
              </w:rPr>
            </w:pPr>
            <w:r w:rsidRPr="00A44684">
              <w:rPr>
                <w:rFonts w:ascii="Arial" w:eastAsia="Times New Roman" w:hAnsi="Arial" w:cs="Arial"/>
                <w:b/>
                <w:bCs/>
                <w:color w:val="0A0A0A"/>
                <w:sz w:val="18"/>
                <w:szCs w:val="18"/>
                <w:shd w:val="clear" w:color="auto" w:fill="FFFFFF"/>
              </w:rPr>
              <w:t>Humidity:</w:t>
            </w:r>
            <w:r w:rsidRPr="00A44684">
              <w:rPr>
                <w:rFonts w:ascii="Arial" w:eastAsia="Times New Roman" w:hAnsi="Arial" w:cs="Arial"/>
                <w:color w:val="0A0A0A"/>
                <w:sz w:val="18"/>
                <w:szCs w:val="18"/>
                <w:shd w:val="clear" w:color="auto" w:fill="FFFFFF"/>
              </w:rPr>
              <w:t> Functional from 0 to 90% humidity</w:t>
            </w:r>
          </w:p>
          <w:p w14:paraId="002C9FAC" w14:textId="77777777" w:rsidR="00A44684" w:rsidRPr="007A42C9" w:rsidRDefault="00A44684" w:rsidP="00A44684">
            <w:pPr>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p>
        </w:tc>
      </w:tr>
    </w:tbl>
    <w:p w14:paraId="08B9ADA1" w14:textId="77777777" w:rsidR="007A42C9" w:rsidRDefault="007A42C9" w:rsidP="004845E8">
      <w:pPr>
        <w:spacing w:after="0" w:line="240" w:lineRule="auto"/>
      </w:pPr>
    </w:p>
    <w:sectPr w:rsidR="007A42C9" w:rsidSect="00BC0FFC">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EA2FF" w14:textId="77777777" w:rsidR="001F1916" w:rsidRDefault="001F1916" w:rsidP="00ED3A74">
      <w:pPr>
        <w:spacing w:after="0" w:line="240" w:lineRule="auto"/>
      </w:pPr>
      <w:r>
        <w:separator/>
      </w:r>
    </w:p>
  </w:endnote>
  <w:endnote w:type="continuationSeparator" w:id="0">
    <w:p w14:paraId="7DB7052C" w14:textId="77777777" w:rsidR="001F1916" w:rsidRDefault="001F1916" w:rsidP="00ED3A74">
      <w:pPr>
        <w:spacing w:after="0" w:line="240" w:lineRule="auto"/>
      </w:pPr>
      <w:r>
        <w:continuationSeparator/>
      </w:r>
    </w:p>
  </w:endnote>
  <w:endnote w:type="continuationNotice" w:id="1">
    <w:p w14:paraId="65EFE1BC" w14:textId="77777777" w:rsidR="001F1916" w:rsidRDefault="001F19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B46AA" w14:textId="77777777" w:rsidR="00517CEB" w:rsidRDefault="00517C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16F235BE" w:rsidR="001505A8" w:rsidRDefault="00724625" w:rsidP="00724625">
    <w:pPr>
      <w:pStyle w:val="Footer"/>
      <w:tabs>
        <w:tab w:val="left" w:pos="516"/>
      </w:tabs>
    </w:pPr>
    <w:r w:rsidRPr="004410CC">
      <w:rPr>
        <w:rFonts w:cstheme="minorHAnsi"/>
        <w:b/>
        <w:bCs/>
        <w:sz w:val="20"/>
        <w:szCs w:val="20"/>
      </w:rPr>
      <w:t xml:space="preserve">Supplier: Sign &amp; Stamp ____________________________                                                     </w:t>
    </w:r>
    <w:r>
      <w:rPr>
        <w:rFonts w:cstheme="minorHAnsi"/>
        <w:b/>
        <w:bCs/>
        <w:sz w:val="20"/>
        <w:szCs w:val="20"/>
      </w:rPr>
      <w:t xml:space="preserve">           </w:t>
    </w:r>
    <w:r w:rsidR="00077334">
      <w:rPr>
        <w:rFonts w:cstheme="minorHAnsi"/>
        <w:b/>
        <w:bCs/>
        <w:sz w:val="20"/>
        <w:szCs w:val="20"/>
      </w:rPr>
      <w:t xml:space="preserve">                                                                                               </w:t>
    </w:r>
    <w:r w:rsidR="001505A8">
      <w:t xml:space="preserve">Page </w:t>
    </w:r>
    <w:r w:rsidR="001505A8">
      <w:rPr>
        <w:b/>
      </w:rPr>
      <w:fldChar w:fldCharType="begin"/>
    </w:r>
    <w:r w:rsidR="001505A8">
      <w:rPr>
        <w:b/>
      </w:rPr>
      <w:instrText xml:space="preserve"> PAGE  \* Arabic  \* MERGEFORMAT </w:instrText>
    </w:r>
    <w:r w:rsidR="001505A8">
      <w:rPr>
        <w:b/>
      </w:rPr>
      <w:fldChar w:fldCharType="separate"/>
    </w:r>
    <w:r w:rsidR="00A22488">
      <w:rPr>
        <w:b/>
        <w:noProof/>
      </w:rPr>
      <w:t>1</w:t>
    </w:r>
    <w:r w:rsidR="001505A8">
      <w:rPr>
        <w:b/>
      </w:rPr>
      <w:fldChar w:fldCharType="end"/>
    </w:r>
    <w:r w:rsidR="001505A8">
      <w:t xml:space="preserve"> of </w:t>
    </w:r>
    <w:r w:rsidR="001505A8">
      <w:rPr>
        <w:b/>
        <w:noProof/>
      </w:rPr>
      <w:fldChar w:fldCharType="begin"/>
    </w:r>
    <w:r w:rsidR="001505A8">
      <w:rPr>
        <w:b/>
        <w:noProof/>
      </w:rPr>
      <w:instrText xml:space="preserve"> NUMPAGES  \* Arabic  \* MERGEFORMAT </w:instrText>
    </w:r>
    <w:r w:rsidR="001505A8">
      <w:rPr>
        <w:b/>
        <w:noProof/>
      </w:rPr>
      <w:fldChar w:fldCharType="separate"/>
    </w:r>
    <w:r w:rsidR="00A22488">
      <w:rPr>
        <w:b/>
        <w:noProof/>
      </w:rPr>
      <w:t>19</w:t>
    </w:r>
    <w:r w:rsidR="001505A8">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BAD50" w14:textId="77777777" w:rsidR="00517CEB" w:rsidRDefault="00517C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41EF4" w14:textId="77777777" w:rsidR="001F1916" w:rsidRDefault="001F1916" w:rsidP="00ED3A74">
      <w:pPr>
        <w:spacing w:after="0" w:line="240" w:lineRule="auto"/>
      </w:pPr>
      <w:r>
        <w:separator/>
      </w:r>
    </w:p>
  </w:footnote>
  <w:footnote w:type="continuationSeparator" w:id="0">
    <w:p w14:paraId="375F3864" w14:textId="77777777" w:rsidR="001F1916" w:rsidRDefault="001F1916" w:rsidP="00ED3A74">
      <w:pPr>
        <w:spacing w:after="0" w:line="240" w:lineRule="auto"/>
      </w:pPr>
      <w:r>
        <w:continuationSeparator/>
      </w:r>
    </w:p>
  </w:footnote>
  <w:footnote w:type="continuationNotice" w:id="1">
    <w:p w14:paraId="23097373" w14:textId="77777777" w:rsidR="001F1916" w:rsidRDefault="001F19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7D79A" w14:textId="77777777" w:rsidR="00517CEB" w:rsidRDefault="00517C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4C988BD2"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EE5912">
      <w:t>3</w:t>
    </w:r>
  </w:p>
  <w:p w14:paraId="16E23559" w14:textId="16871075" w:rsidR="001505A8" w:rsidRDefault="001505A8" w:rsidP="001505A8">
    <w:pPr>
      <w:pStyle w:val="Header"/>
      <w:jc w:val="right"/>
      <w:rPr>
        <w:noProof/>
      </w:rPr>
    </w:pPr>
    <w:r>
      <w:t>Tender reference: 202</w:t>
    </w:r>
    <w:r w:rsidR="00A438D7">
      <w:t>6-</w:t>
    </w:r>
    <w:r w:rsidR="00D6416C">
      <w:t>0</w:t>
    </w:r>
    <w:r w:rsidR="00517CEB">
      <w:t>28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AB5CF" w14:textId="77777777" w:rsidR="00517CEB" w:rsidRDefault="00517C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9"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5" w15:restartNumberingAfterBreak="0">
    <w:nsid w:val="61070B94"/>
    <w:multiLevelType w:val="multilevel"/>
    <w:tmpl w:val="AB5C9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0"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19"/>
  </w:num>
  <w:num w:numId="3" w16cid:durableId="1694841798">
    <w:abstractNumId w:val="11"/>
  </w:num>
  <w:num w:numId="4" w16cid:durableId="534006320">
    <w:abstractNumId w:val="0"/>
  </w:num>
  <w:num w:numId="5" w16cid:durableId="805006742">
    <w:abstractNumId w:val="26"/>
  </w:num>
  <w:num w:numId="6" w16cid:durableId="1426072520">
    <w:abstractNumId w:val="20"/>
  </w:num>
  <w:num w:numId="7" w16cid:durableId="227501363">
    <w:abstractNumId w:val="3"/>
  </w:num>
  <w:num w:numId="8" w16cid:durableId="491944188">
    <w:abstractNumId w:val="9"/>
  </w:num>
  <w:num w:numId="9" w16cid:durableId="433482495">
    <w:abstractNumId w:val="30"/>
  </w:num>
  <w:num w:numId="10" w16cid:durableId="1394549192">
    <w:abstractNumId w:val="2"/>
  </w:num>
  <w:num w:numId="11" w16cid:durableId="880243611">
    <w:abstractNumId w:val="23"/>
  </w:num>
  <w:num w:numId="12" w16cid:durableId="741099906">
    <w:abstractNumId w:val="10"/>
  </w:num>
  <w:num w:numId="13" w16cid:durableId="599679599">
    <w:abstractNumId w:val="5"/>
  </w:num>
  <w:num w:numId="14" w16cid:durableId="1225406338">
    <w:abstractNumId w:val="28"/>
  </w:num>
  <w:num w:numId="15" w16cid:durableId="684288697">
    <w:abstractNumId w:val="24"/>
  </w:num>
  <w:num w:numId="16" w16cid:durableId="1207595752">
    <w:abstractNumId w:val="29"/>
  </w:num>
  <w:num w:numId="17" w16cid:durableId="822283985">
    <w:abstractNumId w:val="21"/>
  </w:num>
  <w:num w:numId="18" w16cid:durableId="185872980">
    <w:abstractNumId w:val="27"/>
  </w:num>
  <w:num w:numId="19" w16cid:durableId="550311536">
    <w:abstractNumId w:val="14"/>
  </w:num>
  <w:num w:numId="20" w16cid:durableId="1633486148">
    <w:abstractNumId w:val="18"/>
  </w:num>
  <w:num w:numId="21" w16cid:durableId="1271820716">
    <w:abstractNumId w:val="15"/>
  </w:num>
  <w:num w:numId="22" w16cid:durableId="1942565444">
    <w:abstractNumId w:val="6"/>
  </w:num>
  <w:num w:numId="23" w16cid:durableId="2012174904">
    <w:abstractNumId w:val="17"/>
  </w:num>
  <w:num w:numId="24" w16cid:durableId="1511484532">
    <w:abstractNumId w:val="1"/>
  </w:num>
  <w:num w:numId="25" w16cid:durableId="1981878871">
    <w:abstractNumId w:val="31"/>
  </w:num>
  <w:num w:numId="26" w16cid:durableId="564341940">
    <w:abstractNumId w:val="4"/>
  </w:num>
  <w:num w:numId="27" w16cid:durableId="2047950661">
    <w:abstractNumId w:val="8"/>
  </w:num>
  <w:num w:numId="28" w16cid:durableId="60636357">
    <w:abstractNumId w:val="7"/>
  </w:num>
  <w:num w:numId="29" w16cid:durableId="1276399991">
    <w:abstractNumId w:val="16"/>
  </w:num>
  <w:num w:numId="30" w16cid:durableId="730077974">
    <w:abstractNumId w:val="22"/>
  </w:num>
  <w:num w:numId="31" w16cid:durableId="1365669277">
    <w:abstractNumId w:val="20"/>
  </w:num>
  <w:num w:numId="32" w16cid:durableId="191459232">
    <w:abstractNumId w:val="12"/>
  </w:num>
  <w:num w:numId="33" w16cid:durableId="1065756624">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4A"/>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66C"/>
    <w:rsid w:val="0007668B"/>
    <w:rsid w:val="00077334"/>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9E9"/>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06F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2FB"/>
    <w:rsid w:val="001D79A5"/>
    <w:rsid w:val="001E060E"/>
    <w:rsid w:val="001E09D5"/>
    <w:rsid w:val="001E2C67"/>
    <w:rsid w:val="001E6B26"/>
    <w:rsid w:val="001E7410"/>
    <w:rsid w:val="001E7641"/>
    <w:rsid w:val="001F124A"/>
    <w:rsid w:val="001F17BA"/>
    <w:rsid w:val="001F1916"/>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57A"/>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FD7"/>
    <w:rsid w:val="003710E2"/>
    <w:rsid w:val="003736A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6337"/>
    <w:rsid w:val="003D6428"/>
    <w:rsid w:val="003D6934"/>
    <w:rsid w:val="003D79FC"/>
    <w:rsid w:val="003E18BC"/>
    <w:rsid w:val="003E2D12"/>
    <w:rsid w:val="003E4195"/>
    <w:rsid w:val="003E53ED"/>
    <w:rsid w:val="003E557C"/>
    <w:rsid w:val="003E6CCD"/>
    <w:rsid w:val="003F0503"/>
    <w:rsid w:val="003F10F4"/>
    <w:rsid w:val="003F14B0"/>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2023F"/>
    <w:rsid w:val="004205BA"/>
    <w:rsid w:val="00421064"/>
    <w:rsid w:val="0042125C"/>
    <w:rsid w:val="00422602"/>
    <w:rsid w:val="004228A8"/>
    <w:rsid w:val="004231DA"/>
    <w:rsid w:val="00426666"/>
    <w:rsid w:val="00430D26"/>
    <w:rsid w:val="004329BC"/>
    <w:rsid w:val="00432D99"/>
    <w:rsid w:val="00432F03"/>
    <w:rsid w:val="00433BBB"/>
    <w:rsid w:val="00434262"/>
    <w:rsid w:val="00434700"/>
    <w:rsid w:val="00434E9B"/>
    <w:rsid w:val="004356D8"/>
    <w:rsid w:val="00435A06"/>
    <w:rsid w:val="0044052C"/>
    <w:rsid w:val="00442221"/>
    <w:rsid w:val="004446B5"/>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76360"/>
    <w:rsid w:val="00481B2E"/>
    <w:rsid w:val="00482761"/>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FB0"/>
    <w:rsid w:val="004B3DF3"/>
    <w:rsid w:val="004B52A3"/>
    <w:rsid w:val="004B5494"/>
    <w:rsid w:val="004B6FA5"/>
    <w:rsid w:val="004C0365"/>
    <w:rsid w:val="004C0BE8"/>
    <w:rsid w:val="004C24F8"/>
    <w:rsid w:val="004C28FC"/>
    <w:rsid w:val="004C34A7"/>
    <w:rsid w:val="004C3B21"/>
    <w:rsid w:val="004C413D"/>
    <w:rsid w:val="004C449A"/>
    <w:rsid w:val="004C5EF8"/>
    <w:rsid w:val="004C70EA"/>
    <w:rsid w:val="004C776D"/>
    <w:rsid w:val="004D165B"/>
    <w:rsid w:val="004D5122"/>
    <w:rsid w:val="004D64A8"/>
    <w:rsid w:val="004D6A5E"/>
    <w:rsid w:val="004D6CB5"/>
    <w:rsid w:val="004E09F5"/>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17CEB"/>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13BA"/>
    <w:rsid w:val="00581B20"/>
    <w:rsid w:val="00581C19"/>
    <w:rsid w:val="00582484"/>
    <w:rsid w:val="005829F3"/>
    <w:rsid w:val="00584AAF"/>
    <w:rsid w:val="00586A01"/>
    <w:rsid w:val="005872E7"/>
    <w:rsid w:val="00591907"/>
    <w:rsid w:val="00591ED0"/>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46B3"/>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7340"/>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B6099"/>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6AC2"/>
    <w:rsid w:val="006E7487"/>
    <w:rsid w:val="006F02EE"/>
    <w:rsid w:val="006F403F"/>
    <w:rsid w:val="006F61C0"/>
    <w:rsid w:val="006F77FC"/>
    <w:rsid w:val="006F7BA5"/>
    <w:rsid w:val="006F7EC3"/>
    <w:rsid w:val="007019DC"/>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37C"/>
    <w:rsid w:val="0072270B"/>
    <w:rsid w:val="00722798"/>
    <w:rsid w:val="007243B8"/>
    <w:rsid w:val="00724625"/>
    <w:rsid w:val="00725315"/>
    <w:rsid w:val="007261BA"/>
    <w:rsid w:val="007269ED"/>
    <w:rsid w:val="007307B6"/>
    <w:rsid w:val="00732346"/>
    <w:rsid w:val="0073238A"/>
    <w:rsid w:val="00732693"/>
    <w:rsid w:val="007334FD"/>
    <w:rsid w:val="007338A0"/>
    <w:rsid w:val="00733A08"/>
    <w:rsid w:val="007356A6"/>
    <w:rsid w:val="00735C6A"/>
    <w:rsid w:val="00736523"/>
    <w:rsid w:val="007370F1"/>
    <w:rsid w:val="00740BD2"/>
    <w:rsid w:val="00740D2F"/>
    <w:rsid w:val="00740F9F"/>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146E"/>
    <w:rsid w:val="007A1487"/>
    <w:rsid w:val="007A42C9"/>
    <w:rsid w:val="007A6AC9"/>
    <w:rsid w:val="007A6F9C"/>
    <w:rsid w:val="007A6FA4"/>
    <w:rsid w:val="007B0FB9"/>
    <w:rsid w:val="007B3258"/>
    <w:rsid w:val="007B3319"/>
    <w:rsid w:val="007B4F1F"/>
    <w:rsid w:val="007B61CC"/>
    <w:rsid w:val="007B6AF7"/>
    <w:rsid w:val="007B78B1"/>
    <w:rsid w:val="007C0191"/>
    <w:rsid w:val="007C0ABF"/>
    <w:rsid w:val="007C0F0F"/>
    <w:rsid w:val="007C12FA"/>
    <w:rsid w:val="007C20E2"/>
    <w:rsid w:val="007C3232"/>
    <w:rsid w:val="007C3E36"/>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42A"/>
    <w:rsid w:val="008769E2"/>
    <w:rsid w:val="00876CBD"/>
    <w:rsid w:val="008772CE"/>
    <w:rsid w:val="00883426"/>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1C77"/>
    <w:rsid w:val="008C200E"/>
    <w:rsid w:val="008C22F8"/>
    <w:rsid w:val="008C35A5"/>
    <w:rsid w:val="008C4AA5"/>
    <w:rsid w:val="008C61B7"/>
    <w:rsid w:val="008C6495"/>
    <w:rsid w:val="008D05C1"/>
    <w:rsid w:val="008D16C3"/>
    <w:rsid w:val="008D2BD1"/>
    <w:rsid w:val="008D3993"/>
    <w:rsid w:val="008D4088"/>
    <w:rsid w:val="008D4A54"/>
    <w:rsid w:val="008D4ADA"/>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0EE"/>
    <w:rsid w:val="008F3882"/>
    <w:rsid w:val="008F4DC9"/>
    <w:rsid w:val="008F6CB6"/>
    <w:rsid w:val="008F7218"/>
    <w:rsid w:val="00900014"/>
    <w:rsid w:val="00900C4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E71A0"/>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684"/>
    <w:rsid w:val="00A44D90"/>
    <w:rsid w:val="00A46694"/>
    <w:rsid w:val="00A47AB8"/>
    <w:rsid w:val="00A50273"/>
    <w:rsid w:val="00A506D5"/>
    <w:rsid w:val="00A50743"/>
    <w:rsid w:val="00A516A8"/>
    <w:rsid w:val="00A51B22"/>
    <w:rsid w:val="00A536A6"/>
    <w:rsid w:val="00A53792"/>
    <w:rsid w:val="00A54756"/>
    <w:rsid w:val="00A551F4"/>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C7127"/>
    <w:rsid w:val="00AD3E94"/>
    <w:rsid w:val="00AD3F4D"/>
    <w:rsid w:val="00AD4474"/>
    <w:rsid w:val="00AD53C2"/>
    <w:rsid w:val="00AD5C49"/>
    <w:rsid w:val="00AD6231"/>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203"/>
    <w:rsid w:val="00B1091D"/>
    <w:rsid w:val="00B12060"/>
    <w:rsid w:val="00B1290F"/>
    <w:rsid w:val="00B1394A"/>
    <w:rsid w:val="00B14717"/>
    <w:rsid w:val="00B149ED"/>
    <w:rsid w:val="00B14B4F"/>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0EE"/>
    <w:rsid w:val="00B87389"/>
    <w:rsid w:val="00B90073"/>
    <w:rsid w:val="00B91074"/>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C0FFC"/>
    <w:rsid w:val="00BC190B"/>
    <w:rsid w:val="00BC1BC8"/>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4BC"/>
    <w:rsid w:val="00D57465"/>
    <w:rsid w:val="00D6416C"/>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3E01"/>
    <w:rsid w:val="00D85212"/>
    <w:rsid w:val="00D86896"/>
    <w:rsid w:val="00D87DE4"/>
    <w:rsid w:val="00D87E22"/>
    <w:rsid w:val="00D92531"/>
    <w:rsid w:val="00D93B28"/>
    <w:rsid w:val="00D9433C"/>
    <w:rsid w:val="00D9754F"/>
    <w:rsid w:val="00D97C18"/>
    <w:rsid w:val="00DA0733"/>
    <w:rsid w:val="00DA2C57"/>
    <w:rsid w:val="00DA356B"/>
    <w:rsid w:val="00DA3873"/>
    <w:rsid w:val="00DB00E6"/>
    <w:rsid w:val="00DB04B6"/>
    <w:rsid w:val="00DB3760"/>
    <w:rsid w:val="00DB412B"/>
    <w:rsid w:val="00DB6141"/>
    <w:rsid w:val="00DB68B5"/>
    <w:rsid w:val="00DB6D2D"/>
    <w:rsid w:val="00DB7C4E"/>
    <w:rsid w:val="00DB7D59"/>
    <w:rsid w:val="00DC0097"/>
    <w:rsid w:val="00DC02CB"/>
    <w:rsid w:val="00DC726C"/>
    <w:rsid w:val="00DC7DDD"/>
    <w:rsid w:val="00DD0D74"/>
    <w:rsid w:val="00DD1257"/>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247A"/>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3A4A"/>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DC"/>
    <w:rsid w:val="00ED348E"/>
    <w:rsid w:val="00ED36E8"/>
    <w:rsid w:val="00ED3A74"/>
    <w:rsid w:val="00ED408D"/>
    <w:rsid w:val="00ED639D"/>
    <w:rsid w:val="00ED6DA1"/>
    <w:rsid w:val="00EE05B9"/>
    <w:rsid w:val="00EE0B6E"/>
    <w:rsid w:val="00EE1188"/>
    <w:rsid w:val="00EE131C"/>
    <w:rsid w:val="00EE16FC"/>
    <w:rsid w:val="00EE18B6"/>
    <w:rsid w:val="00EE300D"/>
    <w:rsid w:val="00EE3834"/>
    <w:rsid w:val="00EE3E67"/>
    <w:rsid w:val="00EE426F"/>
    <w:rsid w:val="00EE5912"/>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FAD"/>
    <w:rsid w:val="00FD6ABE"/>
    <w:rsid w:val="00FD6F04"/>
    <w:rsid w:val="00FD734D"/>
    <w:rsid w:val="00FE2530"/>
    <w:rsid w:val="00FE398C"/>
    <w:rsid w:val="00FE4476"/>
    <w:rsid w:val="00FE4A2C"/>
    <w:rsid w:val="00FE5870"/>
    <w:rsid w:val="00FE6068"/>
    <w:rsid w:val="00FE6891"/>
    <w:rsid w:val="00FE6E84"/>
    <w:rsid w:val="00FF096E"/>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3.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99402D-0612-473D-A4E7-458789453614}">
  <ds:schemaRefs>
    <ds:schemaRef ds:uri="http://schemas.microsoft.com/sharepoint/v3/contenttype/forms"/>
  </ds:schemaRefs>
</ds:datastoreItem>
</file>

<file path=docMetadata/LabelInfo.xml><?xml version="1.0" encoding="utf-8"?>
<clbl:labelList xmlns:clbl="http://schemas.microsoft.com/office/2020/mipLabelMetadata">
  <clbl:label id="{46ec50b2-b191-4ad7-ba82-7deb0436e358}" enabled="1" method="Privileged" siteId="{de3cd3a3-3b37-48aa-974f-a35e5efb5851}" contentBits="0" removed="0"/>
</clbl:labelList>
</file>

<file path=docProps/app.xml><?xml version="1.0" encoding="utf-8"?>
<Properties xmlns="http://schemas.openxmlformats.org/officeDocument/2006/extended-properties" xmlns:vt="http://schemas.openxmlformats.org/officeDocument/2006/docPropsVTypes">
  <Template>Normal</Template>
  <TotalTime>854</TotalTime>
  <Pages>2</Pages>
  <Words>337</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66</cp:revision>
  <cp:lastPrinted>2025-04-09T08:02:00Z</cp:lastPrinted>
  <dcterms:created xsi:type="dcterms:W3CDTF">2025-05-20T16:45:00Z</dcterms:created>
  <dcterms:modified xsi:type="dcterms:W3CDTF">2026-04-14T09:29:00Z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