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A33591">
      <w:pPr>
        <w:pStyle w:val="ListParagraph"/>
        <w:numPr>
          <w:ilvl w:val="0"/>
          <w:numId w:val="6"/>
        </w:numPr>
        <w:jc w:val="both"/>
        <w:rPr>
          <w:rFonts w:cstheme="minorHAnsi"/>
        </w:rPr>
      </w:pPr>
      <w:r>
        <w:rPr>
          <w:rFonts w:cstheme="minorHAnsi"/>
        </w:rPr>
        <w:t>All bids must be typed; handwritten bids will not be considered.</w:t>
      </w:r>
    </w:p>
    <w:p w14:paraId="5D5ADE61" w14:textId="40C768CE" w:rsidR="00B17B17" w:rsidRDefault="00B17B17" w:rsidP="00A33591">
      <w:pPr>
        <w:pStyle w:val="ListParagraph"/>
        <w:numPr>
          <w:ilvl w:val="0"/>
          <w:numId w:val="6"/>
        </w:numPr>
        <w:jc w:val="both"/>
        <w:rPr>
          <w:rFonts w:cstheme="minorHAnsi"/>
        </w:rPr>
      </w:pPr>
      <w:r>
        <w:rPr>
          <w:rFonts w:cstheme="minorHAnsi"/>
        </w:rPr>
        <w:t xml:space="preserve">The contract will be awarded to the lowest-cost technically compliant </w:t>
      </w:r>
      <w:r w:rsidR="00A33591">
        <w:rPr>
          <w:rFonts w:cstheme="minorHAnsi"/>
        </w:rPr>
        <w:t>bid</w:t>
      </w:r>
    </w:p>
    <w:p w14:paraId="02121AD7" w14:textId="77777777" w:rsidR="00B17B17" w:rsidRPr="00B17B17" w:rsidRDefault="00B17B17" w:rsidP="00A33591">
      <w:pPr>
        <w:pStyle w:val="ListParagraph"/>
        <w:numPr>
          <w:ilvl w:val="0"/>
          <w:numId w:val="6"/>
        </w:numPr>
        <w:jc w:val="both"/>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7CD79AC" w14:textId="648EB6D4" w:rsidR="00B17B17" w:rsidRDefault="00B17B17" w:rsidP="00A33591">
      <w:pPr>
        <w:pStyle w:val="ListParagraph"/>
        <w:numPr>
          <w:ilvl w:val="0"/>
          <w:numId w:val="6"/>
        </w:numPr>
        <w:jc w:val="both"/>
        <w:rPr>
          <w:rFonts w:cstheme="minorHAnsi"/>
        </w:rPr>
      </w:pPr>
      <w:r>
        <w:rPr>
          <w:rFonts w:cstheme="minorHAnsi"/>
          <w:u w:val="single"/>
        </w:rPr>
        <w:t xml:space="preserve">The bidder is not permitted to alter the section </w:t>
      </w:r>
      <w:r w:rsidR="005570F4">
        <w:rPr>
          <w:rFonts w:cstheme="minorHAnsi"/>
          <w:u w:val="single"/>
        </w:rPr>
        <w:t>labelled</w:t>
      </w:r>
      <w:r>
        <w:rPr>
          <w:rFonts w:cstheme="minorHAnsi"/>
          <w:u w:val="single"/>
        </w:rPr>
        <w:t xml:space="preserve"> “LRC to complete” below.</w:t>
      </w:r>
      <w:r w:rsidR="000C7BF4">
        <w:rPr>
          <w:rFonts w:cstheme="minorHAnsi"/>
          <w:u w:val="single"/>
        </w:rPr>
        <w:t xml:space="preserve"> Bidder is not allowed to use any other template. </w:t>
      </w:r>
      <w:r>
        <w:rPr>
          <w:rFonts w:cstheme="minorHAnsi"/>
          <w:u w:val="single"/>
        </w:rPr>
        <w:t xml:space="preserve"> </w:t>
      </w:r>
    </w:p>
    <w:p w14:paraId="70C1600A" w14:textId="77777777" w:rsidR="00B17B17" w:rsidRPr="00B17B17" w:rsidRDefault="00B17B17" w:rsidP="00A33591">
      <w:pPr>
        <w:pStyle w:val="ListParagraph"/>
        <w:numPr>
          <w:ilvl w:val="0"/>
          <w:numId w:val="6"/>
        </w:numPr>
        <w:jc w:val="both"/>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5CFF289A" w14:textId="2BACFA42" w:rsidR="009A11C9" w:rsidRDefault="00854DB9" w:rsidP="00A33591">
      <w:pPr>
        <w:pStyle w:val="ListParagraph"/>
        <w:numPr>
          <w:ilvl w:val="0"/>
          <w:numId w:val="6"/>
        </w:numPr>
        <w:jc w:val="both"/>
        <w:rPr>
          <w:rFonts w:cstheme="minorHAnsi"/>
          <w:color w:val="000000" w:themeColor="text1"/>
        </w:rPr>
      </w:pPr>
      <w:r w:rsidRPr="001242BA">
        <w:rPr>
          <w:rFonts w:cstheme="minorHAnsi"/>
          <w:color w:val="000000" w:themeColor="text1"/>
        </w:rPr>
        <w:t xml:space="preserve">Only one option is allowed for biding </w:t>
      </w:r>
    </w:p>
    <w:p w14:paraId="5CAE0824" w14:textId="5320C25F" w:rsidR="007A42C9" w:rsidRDefault="007A42C9" w:rsidP="001242BA">
      <w:pPr>
        <w:pStyle w:val="ListParagraph"/>
        <w:numPr>
          <w:ilvl w:val="0"/>
          <w:numId w:val="6"/>
        </w:numPr>
        <w:rPr>
          <w:rFonts w:cstheme="minorHAnsi"/>
          <w:color w:val="000000" w:themeColor="text1"/>
          <w:highlight w:val="yellow"/>
        </w:rPr>
      </w:pPr>
      <w:r w:rsidRPr="007A42C9">
        <w:rPr>
          <w:rFonts w:cstheme="minorHAnsi"/>
          <w:color w:val="000000" w:themeColor="text1"/>
          <w:highlight w:val="yellow"/>
        </w:rPr>
        <w:t xml:space="preserve">Datasheet </w:t>
      </w:r>
      <w:r w:rsidR="00A33591">
        <w:rPr>
          <w:rFonts w:cstheme="minorHAnsi"/>
          <w:color w:val="000000" w:themeColor="text1"/>
          <w:highlight w:val="yellow"/>
        </w:rPr>
        <w:t xml:space="preserve">for </w:t>
      </w:r>
      <w:r w:rsidRPr="007A42C9">
        <w:rPr>
          <w:rFonts w:cstheme="minorHAnsi"/>
          <w:color w:val="000000" w:themeColor="text1"/>
          <w:highlight w:val="yellow"/>
        </w:rPr>
        <w:t xml:space="preserve">each item must be submitted with the bid and labelled reference to each item number </w:t>
      </w:r>
    </w:p>
    <w:p w14:paraId="52091E82" w14:textId="74B99204" w:rsidR="009A11C9" w:rsidRPr="00A33591" w:rsidRDefault="00A33591" w:rsidP="00A33591">
      <w:pPr>
        <w:pStyle w:val="ListParagraph"/>
        <w:numPr>
          <w:ilvl w:val="0"/>
          <w:numId w:val="6"/>
        </w:numPr>
        <w:rPr>
          <w:rFonts w:cstheme="minorHAnsi"/>
          <w:color w:val="000000" w:themeColor="text1"/>
          <w:highlight w:val="yellow"/>
        </w:rPr>
      </w:pPr>
      <w:r>
        <w:rPr>
          <w:rFonts w:cstheme="minorHAnsi"/>
          <w:color w:val="000000" w:themeColor="text1"/>
          <w:highlight w:val="yellow"/>
        </w:rPr>
        <w:t>First order to be delivered before end of June 2026.</w:t>
      </w:r>
    </w:p>
    <w:tbl>
      <w:tblPr>
        <w:tblStyle w:val="ListTable4-Accent1"/>
        <w:tblW w:w="15111" w:type="dxa"/>
        <w:tblInd w:w="-455" w:type="dxa"/>
        <w:tblLook w:val="04A0" w:firstRow="1" w:lastRow="0" w:firstColumn="1" w:lastColumn="0" w:noHBand="0" w:noVBand="1"/>
      </w:tblPr>
      <w:tblGrid>
        <w:gridCol w:w="811"/>
        <w:gridCol w:w="2081"/>
        <w:gridCol w:w="1310"/>
        <w:gridCol w:w="1269"/>
        <w:gridCol w:w="2539"/>
        <w:gridCol w:w="573"/>
        <w:gridCol w:w="2352"/>
        <w:gridCol w:w="2363"/>
        <w:gridCol w:w="1813"/>
      </w:tblGrid>
      <w:tr w:rsidR="00AA1E03" w:rsidRPr="001D72FB" w14:paraId="244363C9" w14:textId="3AF25F93" w:rsidTr="00A33591">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5463" w:type="dxa"/>
            <w:gridSpan w:val="4"/>
            <w:noWrap/>
            <w:hideMark/>
          </w:tcPr>
          <w:p w14:paraId="30581A3F" w14:textId="77777777" w:rsidR="00AA1E03" w:rsidRPr="001D72FB" w:rsidRDefault="00AA1E03" w:rsidP="001D72F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LRC To Complete</w:t>
            </w:r>
          </w:p>
        </w:tc>
        <w:tc>
          <w:tcPr>
            <w:tcW w:w="0" w:type="auto"/>
            <w:gridSpan w:val="5"/>
            <w:noWrap/>
            <w:hideMark/>
          </w:tcPr>
          <w:p w14:paraId="7F495374" w14:textId="01B8FA82" w:rsidR="00AA1E03" w:rsidRPr="001D72FB" w:rsidRDefault="00AA1E03" w:rsidP="001D72F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18"/>
                <w:lang w:val="en-US"/>
              </w:rPr>
            </w:pPr>
            <w:r w:rsidRPr="001D72FB">
              <w:rPr>
                <w:rFonts w:eastAsia="Times New Roman" w:cstheme="minorHAnsi"/>
                <w:color w:val="000000"/>
                <w:sz w:val="18"/>
                <w:szCs w:val="18"/>
                <w:lang w:val="en-US"/>
              </w:rPr>
              <w:t xml:space="preserve">Bidder to Complete </w:t>
            </w:r>
          </w:p>
        </w:tc>
      </w:tr>
      <w:tr w:rsidR="00F305AF" w:rsidRPr="00B25B2C" w14:paraId="7D72BD57" w14:textId="3B138D2A" w:rsidTr="009E71A0">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811" w:type="dxa"/>
            <w:hideMark/>
          </w:tcPr>
          <w:p w14:paraId="4857C97F" w14:textId="77777777" w:rsidR="00F305AF" w:rsidRPr="001D72FB" w:rsidRDefault="00F305AF" w:rsidP="001D72F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 xml:space="preserve">Item number </w:t>
            </w:r>
          </w:p>
        </w:tc>
        <w:tc>
          <w:tcPr>
            <w:tcW w:w="2081" w:type="dxa"/>
            <w:hideMark/>
          </w:tcPr>
          <w:p w14:paraId="6AD9DECE"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Item/Milestone Required</w:t>
            </w:r>
          </w:p>
        </w:tc>
        <w:tc>
          <w:tcPr>
            <w:tcW w:w="0" w:type="auto"/>
            <w:hideMark/>
          </w:tcPr>
          <w:p w14:paraId="43458497"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Required UOM</w:t>
            </w:r>
          </w:p>
        </w:tc>
        <w:tc>
          <w:tcPr>
            <w:tcW w:w="0" w:type="auto"/>
            <w:hideMark/>
          </w:tcPr>
          <w:p w14:paraId="5CFC6327"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Estimated Qty</w:t>
            </w:r>
          </w:p>
        </w:tc>
        <w:tc>
          <w:tcPr>
            <w:tcW w:w="0" w:type="auto"/>
            <w:hideMark/>
          </w:tcPr>
          <w:p w14:paraId="5974C840"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70332D78"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VAT (%)</w:t>
            </w:r>
          </w:p>
        </w:tc>
        <w:tc>
          <w:tcPr>
            <w:tcW w:w="0" w:type="auto"/>
            <w:hideMark/>
          </w:tcPr>
          <w:p w14:paraId="766435D9"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inclusive VAT, Labor, installation, Bank Transfer Fees, and Delivery and all other fees </w:t>
            </w:r>
          </w:p>
        </w:tc>
        <w:tc>
          <w:tcPr>
            <w:tcW w:w="0" w:type="auto"/>
          </w:tcPr>
          <w:p w14:paraId="71D7E05D" w14:textId="069CC5BB" w:rsidR="00F305AF"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 xml:space="preserve">Total </w:t>
            </w:r>
            <w:r w:rsidRPr="001D72FB">
              <w:rPr>
                <w:rFonts w:eastAsia="Times New Roman" w:cstheme="minorHAnsi"/>
                <w:b/>
                <w:bCs/>
                <w:color w:val="000000"/>
                <w:sz w:val="18"/>
                <w:szCs w:val="18"/>
                <w:lang w:val="en-US"/>
              </w:rPr>
              <w:t>Price in USD, inclusive VAT, Labor, installation, Bank Transfer Fees, and Delivery and all other fees</w:t>
            </w:r>
          </w:p>
        </w:tc>
        <w:tc>
          <w:tcPr>
            <w:tcW w:w="0" w:type="auto"/>
          </w:tcPr>
          <w:p w14:paraId="781B6031" w14:textId="21707226"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 xml:space="preserve">Lead time of delivery for any quantity from the date of each purchase order </w:t>
            </w:r>
          </w:p>
        </w:tc>
      </w:tr>
      <w:tr w:rsidR="009E71A0" w:rsidRPr="00B25B2C" w14:paraId="46D9AE80" w14:textId="77777777" w:rsidTr="009E71A0">
        <w:trPr>
          <w:trHeight w:val="89"/>
        </w:trPr>
        <w:tc>
          <w:tcPr>
            <w:cnfStyle w:val="001000000000" w:firstRow="0" w:lastRow="0" w:firstColumn="1" w:lastColumn="0" w:oddVBand="0" w:evenVBand="0" w:oddHBand="0" w:evenHBand="0" w:firstRowFirstColumn="0" w:firstRowLastColumn="0" w:lastRowFirstColumn="0" w:lastRowLastColumn="0"/>
            <w:tcW w:w="811" w:type="dxa"/>
          </w:tcPr>
          <w:p w14:paraId="687CB90D" w14:textId="2EF697F5" w:rsidR="009E71A0" w:rsidRPr="001D72FB" w:rsidRDefault="009E71A0" w:rsidP="009E71A0">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w:t>
            </w:r>
            <w:r>
              <w:rPr>
                <w:rFonts w:eastAsia="Times New Roman" w:cstheme="minorHAnsi"/>
                <w:color w:val="000000"/>
                <w:sz w:val="18"/>
                <w:szCs w:val="18"/>
                <w:lang w:val="en-US"/>
              </w:rPr>
              <w:t>1</w:t>
            </w:r>
          </w:p>
        </w:tc>
        <w:tc>
          <w:tcPr>
            <w:tcW w:w="2081" w:type="dxa"/>
          </w:tcPr>
          <w:p w14:paraId="13D42575" w14:textId="68B6917C" w:rsidR="009E71A0" w:rsidRPr="001D72FB" w:rsidRDefault="00A33591"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Manual bed</w:t>
            </w:r>
          </w:p>
        </w:tc>
        <w:tc>
          <w:tcPr>
            <w:tcW w:w="0" w:type="auto"/>
          </w:tcPr>
          <w:p w14:paraId="4CADA509" w14:textId="019F3D22" w:rsidR="009E71A0" w:rsidRPr="001D72FB" w:rsidRDefault="00A33591"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Piece</w:t>
            </w:r>
          </w:p>
        </w:tc>
        <w:tc>
          <w:tcPr>
            <w:tcW w:w="0" w:type="auto"/>
          </w:tcPr>
          <w:p w14:paraId="3CA13891" w14:textId="6E03389E" w:rsidR="009E71A0" w:rsidRPr="001D72FB" w:rsidRDefault="00A33591"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60</w:t>
            </w:r>
          </w:p>
        </w:tc>
        <w:tc>
          <w:tcPr>
            <w:tcW w:w="0" w:type="auto"/>
          </w:tcPr>
          <w:p w14:paraId="1003D48A" w14:textId="77777777" w:rsidR="009E71A0" w:rsidRPr="001D72FB"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7DFD7F01" w14:textId="77777777" w:rsidR="009E71A0" w:rsidRPr="001D72FB"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00FE5782" w14:textId="77777777" w:rsidR="009E71A0" w:rsidRPr="001D72FB"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386FB95E" w14:textId="77777777" w:rsidR="009E71A0"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31272C42" w14:textId="77777777" w:rsidR="009E71A0"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9E71A0" w:rsidRPr="00B25B2C" w14:paraId="567E349D" w14:textId="4D463322" w:rsidTr="006B6099">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811" w:type="dxa"/>
            <w:hideMark/>
          </w:tcPr>
          <w:p w14:paraId="35D6A805" w14:textId="77777777" w:rsidR="009E71A0" w:rsidRPr="001D72FB" w:rsidRDefault="009E71A0" w:rsidP="009E71A0">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1.2</w:t>
            </w:r>
          </w:p>
        </w:tc>
        <w:tc>
          <w:tcPr>
            <w:tcW w:w="2081" w:type="dxa"/>
          </w:tcPr>
          <w:p w14:paraId="06F89393" w14:textId="253E1C1A" w:rsidR="009E71A0" w:rsidRPr="001D72FB" w:rsidRDefault="00A33591"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Water mattress</w:t>
            </w:r>
          </w:p>
        </w:tc>
        <w:tc>
          <w:tcPr>
            <w:tcW w:w="0" w:type="auto"/>
          </w:tcPr>
          <w:p w14:paraId="09421405" w14:textId="21196E4E" w:rsidR="009E71A0" w:rsidRPr="001D72FB" w:rsidRDefault="00A33591"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Piece</w:t>
            </w:r>
          </w:p>
        </w:tc>
        <w:tc>
          <w:tcPr>
            <w:tcW w:w="0" w:type="auto"/>
            <w:noWrap/>
          </w:tcPr>
          <w:p w14:paraId="4706BE56" w14:textId="603D8650" w:rsidR="009E71A0" w:rsidRPr="001D72FB" w:rsidRDefault="00A33591" w:rsidP="009E71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200</w:t>
            </w:r>
          </w:p>
        </w:tc>
        <w:tc>
          <w:tcPr>
            <w:tcW w:w="0" w:type="auto"/>
            <w:noWrap/>
            <w:hideMark/>
          </w:tcPr>
          <w:p w14:paraId="68C0BDC2" w14:textId="77777777" w:rsidR="009E71A0" w:rsidRPr="001D72FB" w:rsidRDefault="009E71A0" w:rsidP="009E71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453CB77C"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4557DB20"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51BCC3A0"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19247898" w14:textId="01C73159"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bl>
    <w:p w14:paraId="0D152D6D" w14:textId="77777777" w:rsidR="00F305AF" w:rsidRDefault="00F305AF" w:rsidP="00B25B2C">
      <w:pPr>
        <w:rPr>
          <w:rFonts w:cstheme="minorHAnsi"/>
          <w:b/>
          <w:bCs/>
          <w:color w:val="0070C0"/>
          <w:u w:val="single"/>
        </w:rPr>
      </w:pPr>
    </w:p>
    <w:p w14:paraId="46F9A979" w14:textId="77777777" w:rsidR="00F305AF" w:rsidRDefault="00F305AF" w:rsidP="00B25B2C">
      <w:pPr>
        <w:rPr>
          <w:rFonts w:cstheme="minorHAnsi"/>
          <w:b/>
          <w:bCs/>
          <w:color w:val="0070C0"/>
          <w:u w:val="single"/>
        </w:rPr>
      </w:pPr>
    </w:p>
    <w:p w14:paraId="3281B7E2" w14:textId="77777777" w:rsidR="00F305AF" w:rsidRDefault="00F305AF" w:rsidP="00B25B2C">
      <w:pPr>
        <w:rPr>
          <w:rFonts w:cstheme="minorHAnsi"/>
          <w:b/>
          <w:bCs/>
          <w:color w:val="0070C0"/>
          <w:u w:val="single"/>
        </w:rPr>
      </w:pPr>
    </w:p>
    <w:p w14:paraId="6DE292BE" w14:textId="47E7E16D" w:rsidR="00B25B2C" w:rsidRPr="00B25B2C" w:rsidRDefault="00B25B2C" w:rsidP="00B25B2C">
      <w:pPr>
        <w:rPr>
          <w:rFonts w:cstheme="minorHAnsi"/>
          <w:b/>
          <w:bCs/>
          <w:color w:val="0070C0"/>
          <w:u w:val="single"/>
        </w:rPr>
      </w:pPr>
    </w:p>
    <w:p w14:paraId="0F7F0D66" w14:textId="77777777" w:rsidR="00F305AF" w:rsidRDefault="00F305AF" w:rsidP="00B25B2C">
      <w:pPr>
        <w:rPr>
          <w:rFonts w:cstheme="minorHAnsi"/>
          <w:b/>
          <w:bCs/>
          <w:color w:val="0070C0"/>
          <w:u w:val="single"/>
        </w:rPr>
      </w:pPr>
    </w:p>
    <w:p w14:paraId="69A79D33" w14:textId="6DA5F6E1" w:rsidR="00E3743D" w:rsidRPr="00E3743D" w:rsidRDefault="00E3743D" w:rsidP="00B25B2C">
      <w:pPr>
        <w:rPr>
          <w:rFonts w:cstheme="minorHAnsi"/>
          <w:lang w:val="en-US"/>
        </w:rPr>
        <w:sectPr w:rsidR="00E3743D" w:rsidRPr="00E3743D" w:rsidSect="004845E8">
          <w:headerReference w:type="default" r:id="rId11"/>
          <w:footerReference w:type="default" r:id="rId12"/>
          <w:pgSz w:w="16838" w:h="11906" w:orient="landscape"/>
          <w:pgMar w:top="1440" w:right="1440" w:bottom="1440" w:left="1440" w:header="706" w:footer="706" w:gutter="0"/>
          <w:cols w:space="708"/>
          <w:docGrid w:linePitch="360"/>
        </w:sect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3F9E322F" w14:textId="77777777" w:rsidR="00A33591" w:rsidRPr="00A33591" w:rsidRDefault="00A33591" w:rsidP="00A33591"/>
    <w:p w14:paraId="6921BBDC" w14:textId="6EF2427A" w:rsidR="004845E8" w:rsidRPr="00A33591" w:rsidRDefault="00A33591" w:rsidP="004845E8">
      <w:pPr>
        <w:spacing w:after="0" w:line="240" w:lineRule="auto"/>
        <w:rPr>
          <w:b/>
          <w:bCs/>
          <w:u w:val="single"/>
        </w:rPr>
      </w:pPr>
      <w:r w:rsidRPr="00A33591">
        <w:rPr>
          <w:b/>
          <w:bCs/>
          <w:u w:val="single"/>
        </w:rPr>
        <w:t>Item 1.1: Manual Bed</w:t>
      </w:r>
    </w:p>
    <w:p w14:paraId="48617AAD" w14:textId="77777777" w:rsidR="00A33591" w:rsidRDefault="00A33591" w:rsidP="004845E8">
      <w:pPr>
        <w:spacing w:after="0" w:line="240" w:lineRule="auto"/>
      </w:pPr>
    </w:p>
    <w:tbl>
      <w:tblPr>
        <w:tblStyle w:val="PlainTable1"/>
        <w:tblW w:w="10800" w:type="dxa"/>
        <w:tblInd w:w="-905" w:type="dxa"/>
        <w:tblLook w:val="04A0" w:firstRow="1" w:lastRow="0" w:firstColumn="1" w:lastColumn="0" w:noHBand="0" w:noVBand="1"/>
      </w:tblPr>
      <w:tblGrid>
        <w:gridCol w:w="1980"/>
        <w:gridCol w:w="2157"/>
        <w:gridCol w:w="6663"/>
      </w:tblGrid>
      <w:tr w:rsidR="00A33591" w:rsidRPr="00A33591" w14:paraId="5B8845F4" w14:textId="77777777" w:rsidTr="00A3359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548DD4" w:themeFill="text2" w:themeFillTint="99"/>
            <w:noWrap/>
            <w:vAlign w:val="center"/>
            <w:hideMark/>
          </w:tcPr>
          <w:p w14:paraId="16E9B085"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Category</w:t>
            </w:r>
          </w:p>
        </w:tc>
        <w:tc>
          <w:tcPr>
            <w:tcW w:w="0" w:type="auto"/>
            <w:shd w:val="clear" w:color="auto" w:fill="548DD4" w:themeFill="text2" w:themeFillTint="99"/>
            <w:noWrap/>
            <w:vAlign w:val="center"/>
            <w:hideMark/>
          </w:tcPr>
          <w:p w14:paraId="1E25A114" w14:textId="77777777" w:rsidR="00A33591" w:rsidRPr="00A33591" w:rsidRDefault="00A33591" w:rsidP="00A3359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Specification</w:t>
            </w:r>
          </w:p>
        </w:tc>
        <w:tc>
          <w:tcPr>
            <w:tcW w:w="6663" w:type="dxa"/>
            <w:shd w:val="clear" w:color="auto" w:fill="548DD4" w:themeFill="text2" w:themeFillTint="99"/>
            <w:noWrap/>
            <w:vAlign w:val="center"/>
            <w:hideMark/>
          </w:tcPr>
          <w:p w14:paraId="24A1500A" w14:textId="77777777" w:rsidR="00A33591" w:rsidRPr="00A33591" w:rsidRDefault="00A33591" w:rsidP="00A3359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Allowed Range / Options (Detailed)</w:t>
            </w:r>
          </w:p>
        </w:tc>
      </w:tr>
      <w:tr w:rsidR="00A33591" w:rsidRPr="00A33591" w14:paraId="3AF35494" w14:textId="77777777" w:rsidTr="00A3359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BE5F1" w:themeFill="accent1" w:themeFillTint="33"/>
            <w:noWrap/>
            <w:vAlign w:val="center"/>
            <w:hideMark/>
          </w:tcPr>
          <w:p w14:paraId="15F095EF"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General</w:t>
            </w:r>
          </w:p>
        </w:tc>
        <w:tc>
          <w:tcPr>
            <w:tcW w:w="0" w:type="auto"/>
            <w:shd w:val="clear" w:color="auto" w:fill="DBE5F1" w:themeFill="accent1" w:themeFillTint="33"/>
            <w:noWrap/>
            <w:vAlign w:val="center"/>
            <w:hideMark/>
          </w:tcPr>
          <w:p w14:paraId="49B4A1B4"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Certification</w:t>
            </w:r>
          </w:p>
        </w:tc>
        <w:tc>
          <w:tcPr>
            <w:tcW w:w="6663" w:type="dxa"/>
            <w:shd w:val="clear" w:color="auto" w:fill="DBE5F1" w:themeFill="accent1" w:themeFillTint="33"/>
            <w:noWrap/>
            <w:vAlign w:val="center"/>
            <w:hideMark/>
          </w:tcPr>
          <w:p w14:paraId="31AC52DA"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CE Marked / FDA Approved / ISO 13485 Certified</w:t>
            </w:r>
          </w:p>
        </w:tc>
      </w:tr>
      <w:tr w:rsidR="00A33591" w:rsidRPr="00A33591" w14:paraId="4DE2B55A" w14:textId="77777777" w:rsidTr="00A33591">
        <w:trPr>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BE5F1" w:themeFill="accent1" w:themeFillTint="33"/>
            <w:noWrap/>
            <w:vAlign w:val="center"/>
            <w:hideMark/>
          </w:tcPr>
          <w:p w14:paraId="24009460"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General</w:t>
            </w:r>
          </w:p>
        </w:tc>
        <w:tc>
          <w:tcPr>
            <w:tcW w:w="0" w:type="auto"/>
            <w:shd w:val="clear" w:color="auto" w:fill="DBE5F1" w:themeFill="accent1" w:themeFillTint="33"/>
            <w:noWrap/>
            <w:vAlign w:val="center"/>
            <w:hideMark/>
          </w:tcPr>
          <w:p w14:paraId="4548DBD9"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Bed Type</w:t>
            </w:r>
          </w:p>
        </w:tc>
        <w:tc>
          <w:tcPr>
            <w:tcW w:w="6663" w:type="dxa"/>
            <w:shd w:val="clear" w:color="auto" w:fill="DBE5F1" w:themeFill="accent1" w:themeFillTint="33"/>
            <w:noWrap/>
            <w:vAlign w:val="center"/>
            <w:hideMark/>
          </w:tcPr>
          <w:p w14:paraId="1726FDC9" w14:textId="2BB8DD74"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2-crank manual / 3-crank manual</w:t>
            </w:r>
          </w:p>
        </w:tc>
      </w:tr>
      <w:tr w:rsidR="00A33591" w:rsidRPr="00A33591" w14:paraId="67BA7E46" w14:textId="77777777" w:rsidTr="00A3359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BE5F1" w:themeFill="accent1" w:themeFillTint="33"/>
            <w:noWrap/>
            <w:vAlign w:val="center"/>
            <w:hideMark/>
          </w:tcPr>
          <w:p w14:paraId="0D54136B"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Dimensions</w:t>
            </w:r>
          </w:p>
        </w:tc>
        <w:tc>
          <w:tcPr>
            <w:tcW w:w="0" w:type="auto"/>
            <w:shd w:val="clear" w:color="auto" w:fill="DBE5F1" w:themeFill="accent1" w:themeFillTint="33"/>
            <w:noWrap/>
            <w:vAlign w:val="center"/>
            <w:hideMark/>
          </w:tcPr>
          <w:p w14:paraId="6D799B8D"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Overall Bed Size (cm)</w:t>
            </w:r>
          </w:p>
        </w:tc>
        <w:tc>
          <w:tcPr>
            <w:tcW w:w="6663" w:type="dxa"/>
            <w:shd w:val="clear" w:color="auto" w:fill="DBE5F1" w:themeFill="accent1" w:themeFillTint="33"/>
            <w:noWrap/>
            <w:vAlign w:val="center"/>
            <w:hideMark/>
          </w:tcPr>
          <w:p w14:paraId="6D516C74"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Length: 190–210 cm | Width: 90–110 cm</w:t>
            </w:r>
          </w:p>
        </w:tc>
      </w:tr>
      <w:tr w:rsidR="00A33591" w:rsidRPr="00A33591" w14:paraId="0ACEFA8F" w14:textId="77777777" w:rsidTr="00A33591">
        <w:trPr>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BE5F1" w:themeFill="accent1" w:themeFillTint="33"/>
            <w:noWrap/>
            <w:vAlign w:val="center"/>
            <w:hideMark/>
          </w:tcPr>
          <w:p w14:paraId="788B1F10"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Dimensions</w:t>
            </w:r>
          </w:p>
        </w:tc>
        <w:tc>
          <w:tcPr>
            <w:tcW w:w="0" w:type="auto"/>
            <w:shd w:val="clear" w:color="auto" w:fill="DBE5F1" w:themeFill="accent1" w:themeFillTint="33"/>
            <w:noWrap/>
            <w:vAlign w:val="center"/>
            <w:hideMark/>
          </w:tcPr>
          <w:p w14:paraId="0C33AEA3"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Mattress Platform Size (cm)</w:t>
            </w:r>
          </w:p>
        </w:tc>
        <w:tc>
          <w:tcPr>
            <w:tcW w:w="6663" w:type="dxa"/>
            <w:shd w:val="clear" w:color="auto" w:fill="DBE5F1" w:themeFill="accent1" w:themeFillTint="33"/>
            <w:noWrap/>
            <w:vAlign w:val="center"/>
            <w:hideMark/>
          </w:tcPr>
          <w:p w14:paraId="35BF6694"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Length: 180–200 cm | Width: 80–100 cm</w:t>
            </w:r>
          </w:p>
        </w:tc>
      </w:tr>
      <w:tr w:rsidR="00A33591" w:rsidRPr="00A33591" w14:paraId="75269B08" w14:textId="77777777" w:rsidTr="00A3359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BE5F1" w:themeFill="accent1" w:themeFillTint="33"/>
            <w:noWrap/>
            <w:vAlign w:val="center"/>
            <w:hideMark/>
          </w:tcPr>
          <w:p w14:paraId="416EFBAB"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Structure</w:t>
            </w:r>
          </w:p>
        </w:tc>
        <w:tc>
          <w:tcPr>
            <w:tcW w:w="0" w:type="auto"/>
            <w:shd w:val="clear" w:color="auto" w:fill="DBE5F1" w:themeFill="accent1" w:themeFillTint="33"/>
            <w:noWrap/>
            <w:vAlign w:val="center"/>
            <w:hideMark/>
          </w:tcPr>
          <w:p w14:paraId="59B9A00B"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Frame Material</w:t>
            </w:r>
          </w:p>
        </w:tc>
        <w:tc>
          <w:tcPr>
            <w:tcW w:w="6663" w:type="dxa"/>
            <w:shd w:val="clear" w:color="auto" w:fill="DBE5F1" w:themeFill="accent1" w:themeFillTint="33"/>
            <w:noWrap/>
            <w:vAlign w:val="center"/>
            <w:hideMark/>
          </w:tcPr>
          <w:p w14:paraId="413DA66E" w14:textId="6E147504"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Epoxy coated steel</w:t>
            </w:r>
          </w:p>
        </w:tc>
      </w:tr>
      <w:tr w:rsidR="00A33591" w:rsidRPr="00A33591" w14:paraId="4FAB7FC7" w14:textId="77777777" w:rsidTr="00A33591">
        <w:trPr>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BE5F1" w:themeFill="accent1" w:themeFillTint="33"/>
            <w:noWrap/>
            <w:vAlign w:val="center"/>
            <w:hideMark/>
          </w:tcPr>
          <w:p w14:paraId="65167046"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Structure</w:t>
            </w:r>
          </w:p>
        </w:tc>
        <w:tc>
          <w:tcPr>
            <w:tcW w:w="0" w:type="auto"/>
            <w:shd w:val="clear" w:color="auto" w:fill="DBE5F1" w:themeFill="accent1" w:themeFillTint="33"/>
            <w:noWrap/>
            <w:vAlign w:val="center"/>
            <w:hideMark/>
          </w:tcPr>
          <w:p w14:paraId="28DE1CB3"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Side Rails</w:t>
            </w:r>
          </w:p>
        </w:tc>
        <w:tc>
          <w:tcPr>
            <w:tcW w:w="6663" w:type="dxa"/>
            <w:shd w:val="clear" w:color="auto" w:fill="DBE5F1" w:themeFill="accent1" w:themeFillTint="33"/>
            <w:noWrap/>
            <w:vAlign w:val="center"/>
            <w:hideMark/>
          </w:tcPr>
          <w:p w14:paraId="6BFFCEC0"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ABS foldable rails / Aluminum rails / Full-length rails</w:t>
            </w:r>
          </w:p>
        </w:tc>
      </w:tr>
      <w:tr w:rsidR="00A33591" w:rsidRPr="00A33591" w14:paraId="56BDD5D3" w14:textId="77777777" w:rsidTr="00A3359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BE5F1" w:themeFill="accent1" w:themeFillTint="33"/>
            <w:noWrap/>
            <w:vAlign w:val="center"/>
            <w:hideMark/>
          </w:tcPr>
          <w:p w14:paraId="0151E205"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Performance</w:t>
            </w:r>
          </w:p>
        </w:tc>
        <w:tc>
          <w:tcPr>
            <w:tcW w:w="0" w:type="auto"/>
            <w:shd w:val="clear" w:color="auto" w:fill="DBE5F1" w:themeFill="accent1" w:themeFillTint="33"/>
            <w:noWrap/>
            <w:vAlign w:val="center"/>
            <w:hideMark/>
          </w:tcPr>
          <w:p w14:paraId="3D587C6F"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Backrest Adjustment</w:t>
            </w:r>
          </w:p>
        </w:tc>
        <w:tc>
          <w:tcPr>
            <w:tcW w:w="6663" w:type="dxa"/>
            <w:shd w:val="clear" w:color="auto" w:fill="DBE5F1" w:themeFill="accent1" w:themeFillTint="33"/>
            <w:noWrap/>
            <w:vAlign w:val="center"/>
            <w:hideMark/>
          </w:tcPr>
          <w:p w14:paraId="06AA8505"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Minimum 0° to maximum 75° backrest elevation</w:t>
            </w:r>
          </w:p>
        </w:tc>
      </w:tr>
      <w:tr w:rsidR="00A33591" w:rsidRPr="00A33591" w14:paraId="11209947" w14:textId="77777777" w:rsidTr="00A33591">
        <w:trPr>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BE5F1" w:themeFill="accent1" w:themeFillTint="33"/>
            <w:noWrap/>
            <w:vAlign w:val="center"/>
            <w:hideMark/>
          </w:tcPr>
          <w:p w14:paraId="4BC0E4A8"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Performance</w:t>
            </w:r>
          </w:p>
        </w:tc>
        <w:tc>
          <w:tcPr>
            <w:tcW w:w="0" w:type="auto"/>
            <w:shd w:val="clear" w:color="auto" w:fill="DBE5F1" w:themeFill="accent1" w:themeFillTint="33"/>
            <w:noWrap/>
            <w:vAlign w:val="center"/>
            <w:hideMark/>
          </w:tcPr>
          <w:p w14:paraId="4210D52D"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Knee Rest Adjustment</w:t>
            </w:r>
          </w:p>
        </w:tc>
        <w:tc>
          <w:tcPr>
            <w:tcW w:w="6663" w:type="dxa"/>
            <w:shd w:val="clear" w:color="auto" w:fill="DBE5F1" w:themeFill="accent1" w:themeFillTint="33"/>
            <w:noWrap/>
            <w:vAlign w:val="center"/>
            <w:hideMark/>
          </w:tcPr>
          <w:p w14:paraId="1ACEF884"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Minimum 0° to maximum 45° knee elevation</w:t>
            </w:r>
          </w:p>
        </w:tc>
      </w:tr>
      <w:tr w:rsidR="00A33591" w:rsidRPr="00A33591" w14:paraId="30FF8C49" w14:textId="77777777" w:rsidTr="00A3359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BE5F1" w:themeFill="accent1" w:themeFillTint="33"/>
            <w:noWrap/>
            <w:vAlign w:val="center"/>
            <w:hideMark/>
          </w:tcPr>
          <w:p w14:paraId="2AA4EA8C"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Performance</w:t>
            </w:r>
          </w:p>
        </w:tc>
        <w:tc>
          <w:tcPr>
            <w:tcW w:w="0" w:type="auto"/>
            <w:shd w:val="clear" w:color="auto" w:fill="DBE5F1" w:themeFill="accent1" w:themeFillTint="33"/>
            <w:noWrap/>
            <w:vAlign w:val="center"/>
            <w:hideMark/>
          </w:tcPr>
          <w:p w14:paraId="13C6C7B7"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Height Adjustment</w:t>
            </w:r>
          </w:p>
        </w:tc>
        <w:tc>
          <w:tcPr>
            <w:tcW w:w="6663" w:type="dxa"/>
            <w:shd w:val="clear" w:color="auto" w:fill="DBE5F1" w:themeFill="accent1" w:themeFillTint="33"/>
            <w:noWrap/>
            <w:vAlign w:val="center"/>
            <w:hideMark/>
          </w:tcPr>
          <w:p w14:paraId="4BE87C90"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Manual crank adjustment / Fixed height</w:t>
            </w:r>
          </w:p>
        </w:tc>
      </w:tr>
      <w:tr w:rsidR="00A33591" w:rsidRPr="00A33591" w14:paraId="2F7850D6" w14:textId="77777777" w:rsidTr="00A33591">
        <w:trPr>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BE5F1" w:themeFill="accent1" w:themeFillTint="33"/>
            <w:noWrap/>
            <w:vAlign w:val="center"/>
            <w:hideMark/>
          </w:tcPr>
          <w:p w14:paraId="56B59C8B"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Capacity</w:t>
            </w:r>
          </w:p>
        </w:tc>
        <w:tc>
          <w:tcPr>
            <w:tcW w:w="0" w:type="auto"/>
            <w:shd w:val="clear" w:color="auto" w:fill="DBE5F1" w:themeFill="accent1" w:themeFillTint="33"/>
            <w:noWrap/>
            <w:vAlign w:val="center"/>
            <w:hideMark/>
          </w:tcPr>
          <w:p w14:paraId="10435A0A"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Max Patient Weight (kg)</w:t>
            </w:r>
          </w:p>
        </w:tc>
        <w:tc>
          <w:tcPr>
            <w:tcW w:w="6663" w:type="dxa"/>
            <w:shd w:val="clear" w:color="auto" w:fill="DBE5F1" w:themeFill="accent1" w:themeFillTint="33"/>
            <w:noWrap/>
            <w:vAlign w:val="center"/>
            <w:hideMark/>
          </w:tcPr>
          <w:p w14:paraId="02E1E76F"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Minimum safe working load: 120–300 kg</w:t>
            </w:r>
          </w:p>
        </w:tc>
      </w:tr>
      <w:tr w:rsidR="00A33591" w:rsidRPr="00A33591" w14:paraId="4498B689" w14:textId="77777777" w:rsidTr="00A3359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BE5F1" w:themeFill="accent1" w:themeFillTint="33"/>
            <w:noWrap/>
            <w:vAlign w:val="center"/>
            <w:hideMark/>
          </w:tcPr>
          <w:p w14:paraId="35C1EE79"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Mobility</w:t>
            </w:r>
          </w:p>
        </w:tc>
        <w:tc>
          <w:tcPr>
            <w:tcW w:w="0" w:type="auto"/>
            <w:shd w:val="clear" w:color="auto" w:fill="DBE5F1" w:themeFill="accent1" w:themeFillTint="33"/>
            <w:noWrap/>
            <w:vAlign w:val="center"/>
            <w:hideMark/>
          </w:tcPr>
          <w:p w14:paraId="6BE6626F"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Caster Size</w:t>
            </w:r>
          </w:p>
        </w:tc>
        <w:tc>
          <w:tcPr>
            <w:tcW w:w="6663" w:type="dxa"/>
            <w:shd w:val="clear" w:color="auto" w:fill="DBE5F1" w:themeFill="accent1" w:themeFillTint="33"/>
            <w:noWrap/>
            <w:vAlign w:val="center"/>
            <w:hideMark/>
          </w:tcPr>
          <w:p w14:paraId="005B2B4C"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4-inch / 5-inch / 6-inch medical casters</w:t>
            </w:r>
          </w:p>
        </w:tc>
      </w:tr>
      <w:tr w:rsidR="00A33591" w:rsidRPr="00A33591" w14:paraId="4C9847E1" w14:textId="77777777" w:rsidTr="00A33591">
        <w:trPr>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BE5F1" w:themeFill="accent1" w:themeFillTint="33"/>
            <w:noWrap/>
            <w:vAlign w:val="center"/>
            <w:hideMark/>
          </w:tcPr>
          <w:p w14:paraId="319F7AE4"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Mobility</w:t>
            </w:r>
          </w:p>
        </w:tc>
        <w:tc>
          <w:tcPr>
            <w:tcW w:w="0" w:type="auto"/>
            <w:shd w:val="clear" w:color="auto" w:fill="DBE5F1" w:themeFill="accent1" w:themeFillTint="33"/>
            <w:noWrap/>
            <w:vAlign w:val="center"/>
            <w:hideMark/>
          </w:tcPr>
          <w:p w14:paraId="4E3A4BE0"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Braking System</w:t>
            </w:r>
          </w:p>
        </w:tc>
        <w:tc>
          <w:tcPr>
            <w:tcW w:w="6663" w:type="dxa"/>
            <w:shd w:val="clear" w:color="auto" w:fill="DBE5F1" w:themeFill="accent1" w:themeFillTint="33"/>
            <w:noWrap/>
            <w:vAlign w:val="center"/>
            <w:hideMark/>
          </w:tcPr>
          <w:p w14:paraId="2D7DC26B"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Central locking brake / Individual wheel brake</w:t>
            </w:r>
          </w:p>
        </w:tc>
      </w:tr>
      <w:tr w:rsidR="00A33591" w:rsidRPr="00A33591" w14:paraId="451B58DA" w14:textId="77777777" w:rsidTr="00A3359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BE5F1" w:themeFill="accent1" w:themeFillTint="33"/>
            <w:noWrap/>
            <w:vAlign w:val="center"/>
            <w:hideMark/>
          </w:tcPr>
          <w:p w14:paraId="090A67BF"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Accessories</w:t>
            </w:r>
          </w:p>
        </w:tc>
        <w:tc>
          <w:tcPr>
            <w:tcW w:w="0" w:type="auto"/>
            <w:shd w:val="clear" w:color="auto" w:fill="DBE5F1" w:themeFill="accent1" w:themeFillTint="33"/>
            <w:noWrap/>
            <w:vAlign w:val="center"/>
            <w:hideMark/>
          </w:tcPr>
          <w:p w14:paraId="6F3AB82A"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IV Pole</w:t>
            </w:r>
          </w:p>
        </w:tc>
        <w:tc>
          <w:tcPr>
            <w:tcW w:w="6663" w:type="dxa"/>
            <w:shd w:val="clear" w:color="auto" w:fill="DBE5F1" w:themeFill="accent1" w:themeFillTint="33"/>
            <w:noWrap/>
            <w:vAlign w:val="center"/>
            <w:hideMark/>
          </w:tcPr>
          <w:p w14:paraId="3AB822C9"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Adjustable stainless steel IV pole included or optional</w:t>
            </w:r>
          </w:p>
        </w:tc>
      </w:tr>
      <w:tr w:rsidR="00A33591" w:rsidRPr="00A33591" w14:paraId="05BCC5D5" w14:textId="77777777" w:rsidTr="00A33591">
        <w:trPr>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BE5F1" w:themeFill="accent1" w:themeFillTint="33"/>
            <w:noWrap/>
            <w:vAlign w:val="center"/>
            <w:hideMark/>
          </w:tcPr>
          <w:p w14:paraId="452C893F"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Accessories</w:t>
            </w:r>
          </w:p>
        </w:tc>
        <w:tc>
          <w:tcPr>
            <w:tcW w:w="0" w:type="auto"/>
            <w:shd w:val="clear" w:color="auto" w:fill="DBE5F1" w:themeFill="accent1" w:themeFillTint="33"/>
            <w:noWrap/>
            <w:vAlign w:val="center"/>
            <w:hideMark/>
          </w:tcPr>
          <w:p w14:paraId="589A1EDC"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Mattress (Fit on the platform)</w:t>
            </w:r>
          </w:p>
        </w:tc>
        <w:tc>
          <w:tcPr>
            <w:tcW w:w="6663" w:type="dxa"/>
            <w:shd w:val="clear" w:color="auto" w:fill="DBE5F1" w:themeFill="accent1" w:themeFillTint="33"/>
            <w:noWrap/>
            <w:vAlign w:val="center"/>
            <w:hideMark/>
          </w:tcPr>
          <w:p w14:paraId="2B9ECA1F"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Foam mattress included / Thickness: ≥100–120 mm</w:t>
            </w:r>
          </w:p>
        </w:tc>
      </w:tr>
      <w:tr w:rsidR="00A33591" w:rsidRPr="00A33591" w14:paraId="01A7509D" w14:textId="77777777" w:rsidTr="00A3359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BE5F1" w:themeFill="accent1" w:themeFillTint="33"/>
            <w:noWrap/>
            <w:vAlign w:val="center"/>
            <w:hideMark/>
          </w:tcPr>
          <w:p w14:paraId="35FE2331"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Hygiene</w:t>
            </w:r>
          </w:p>
        </w:tc>
        <w:tc>
          <w:tcPr>
            <w:tcW w:w="0" w:type="auto"/>
            <w:shd w:val="clear" w:color="auto" w:fill="DBE5F1" w:themeFill="accent1" w:themeFillTint="33"/>
            <w:noWrap/>
            <w:vAlign w:val="center"/>
            <w:hideMark/>
          </w:tcPr>
          <w:p w14:paraId="7198EC15"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Cleaning Method</w:t>
            </w:r>
          </w:p>
        </w:tc>
        <w:tc>
          <w:tcPr>
            <w:tcW w:w="6663" w:type="dxa"/>
            <w:shd w:val="clear" w:color="auto" w:fill="DBE5F1" w:themeFill="accent1" w:themeFillTint="33"/>
            <w:noWrap/>
            <w:vAlign w:val="center"/>
            <w:hideMark/>
          </w:tcPr>
          <w:p w14:paraId="12A5E74E"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Easy-clean surfaces / Removable ABS panels</w:t>
            </w:r>
          </w:p>
        </w:tc>
      </w:tr>
      <w:tr w:rsidR="00A33591" w:rsidRPr="00A33591" w14:paraId="2D6EC37B" w14:textId="77777777" w:rsidTr="00A33591">
        <w:trPr>
          <w:trHeight w:val="288"/>
        </w:trPr>
        <w:tc>
          <w:tcPr>
            <w:cnfStyle w:val="001000000000" w:firstRow="0" w:lastRow="0" w:firstColumn="1" w:lastColumn="0" w:oddVBand="0" w:evenVBand="0" w:oddHBand="0" w:evenHBand="0" w:firstRowFirstColumn="0" w:firstRowLastColumn="0" w:lastRowFirstColumn="0" w:lastRowLastColumn="0"/>
            <w:tcW w:w="1980" w:type="dxa"/>
            <w:shd w:val="clear" w:color="auto" w:fill="DBE5F1" w:themeFill="accent1" w:themeFillTint="33"/>
            <w:noWrap/>
            <w:vAlign w:val="center"/>
            <w:hideMark/>
          </w:tcPr>
          <w:p w14:paraId="0ACC5022"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Warranty</w:t>
            </w:r>
          </w:p>
        </w:tc>
        <w:tc>
          <w:tcPr>
            <w:tcW w:w="0" w:type="auto"/>
            <w:shd w:val="clear" w:color="auto" w:fill="DBE5F1" w:themeFill="accent1" w:themeFillTint="33"/>
            <w:noWrap/>
            <w:vAlign w:val="center"/>
            <w:hideMark/>
          </w:tcPr>
          <w:p w14:paraId="5B2AEB90"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Warranty (years)</w:t>
            </w:r>
          </w:p>
        </w:tc>
        <w:tc>
          <w:tcPr>
            <w:tcW w:w="6663" w:type="dxa"/>
            <w:shd w:val="clear" w:color="auto" w:fill="DBE5F1" w:themeFill="accent1" w:themeFillTint="33"/>
            <w:noWrap/>
            <w:vAlign w:val="center"/>
            <w:hideMark/>
          </w:tcPr>
          <w:p w14:paraId="189BD609"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Minimum 1 year warranty up to 5 years</w:t>
            </w:r>
          </w:p>
        </w:tc>
      </w:tr>
    </w:tbl>
    <w:p w14:paraId="08B9ADA1" w14:textId="77777777" w:rsidR="007A42C9" w:rsidRDefault="007A42C9" w:rsidP="004845E8">
      <w:pPr>
        <w:spacing w:after="0" w:line="240" w:lineRule="auto"/>
        <w:rPr>
          <w:lang w:val="en-US"/>
        </w:rPr>
      </w:pPr>
    </w:p>
    <w:p w14:paraId="34426043" w14:textId="69369B57" w:rsidR="00A33591" w:rsidRDefault="00A33591" w:rsidP="004845E8">
      <w:pPr>
        <w:spacing w:after="0" w:line="240" w:lineRule="auto"/>
        <w:rPr>
          <w:b/>
          <w:bCs/>
          <w:u w:val="single"/>
          <w:lang w:val="en-US"/>
        </w:rPr>
      </w:pPr>
      <w:r w:rsidRPr="00A33591">
        <w:rPr>
          <w:b/>
          <w:bCs/>
          <w:u w:val="single"/>
          <w:lang w:val="en-US"/>
        </w:rPr>
        <w:t>Item 1.2: Water Mattress</w:t>
      </w:r>
    </w:p>
    <w:p w14:paraId="4D26D6FC" w14:textId="77777777" w:rsidR="00A33591" w:rsidRDefault="00A33591" w:rsidP="004845E8">
      <w:pPr>
        <w:spacing w:after="0" w:line="240" w:lineRule="auto"/>
        <w:rPr>
          <w:b/>
          <w:bCs/>
          <w:u w:val="single"/>
          <w:lang w:val="en-US"/>
        </w:rPr>
      </w:pPr>
    </w:p>
    <w:tbl>
      <w:tblPr>
        <w:tblStyle w:val="PlainTable1"/>
        <w:tblW w:w="10800" w:type="dxa"/>
        <w:tblInd w:w="-892" w:type="dxa"/>
        <w:tblLook w:val="04A0" w:firstRow="1" w:lastRow="0" w:firstColumn="1" w:lastColumn="0" w:noHBand="0" w:noVBand="1"/>
      </w:tblPr>
      <w:tblGrid>
        <w:gridCol w:w="1964"/>
        <w:gridCol w:w="1878"/>
        <w:gridCol w:w="6958"/>
      </w:tblGrid>
      <w:tr w:rsidR="00A33591" w:rsidRPr="00A33591" w14:paraId="5DD9167E" w14:textId="77777777" w:rsidTr="00A3359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64" w:type="dxa"/>
            <w:shd w:val="clear" w:color="auto" w:fill="548DD4" w:themeFill="text2" w:themeFillTint="99"/>
            <w:noWrap/>
            <w:vAlign w:val="center"/>
            <w:hideMark/>
          </w:tcPr>
          <w:p w14:paraId="74C8DB34"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Category</w:t>
            </w:r>
          </w:p>
        </w:tc>
        <w:tc>
          <w:tcPr>
            <w:tcW w:w="0" w:type="auto"/>
            <w:shd w:val="clear" w:color="auto" w:fill="548DD4" w:themeFill="text2" w:themeFillTint="99"/>
            <w:noWrap/>
            <w:vAlign w:val="center"/>
            <w:hideMark/>
          </w:tcPr>
          <w:p w14:paraId="588E3F58" w14:textId="77777777" w:rsidR="00A33591" w:rsidRPr="00A33591" w:rsidRDefault="00A33591" w:rsidP="00A3359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Specification</w:t>
            </w:r>
          </w:p>
        </w:tc>
        <w:tc>
          <w:tcPr>
            <w:tcW w:w="6958" w:type="dxa"/>
            <w:shd w:val="clear" w:color="auto" w:fill="548DD4" w:themeFill="text2" w:themeFillTint="99"/>
            <w:noWrap/>
            <w:vAlign w:val="center"/>
            <w:hideMark/>
          </w:tcPr>
          <w:p w14:paraId="6420EAB5" w14:textId="77777777" w:rsidR="00A33591" w:rsidRPr="00A33591" w:rsidRDefault="00A33591" w:rsidP="00A3359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Allowed Range / Options</w:t>
            </w:r>
          </w:p>
        </w:tc>
      </w:tr>
      <w:tr w:rsidR="00A33591" w:rsidRPr="00A33591" w14:paraId="5641E343" w14:textId="77777777" w:rsidTr="00A3359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64" w:type="dxa"/>
            <w:shd w:val="clear" w:color="auto" w:fill="DBE5F1" w:themeFill="accent1" w:themeFillTint="33"/>
            <w:noWrap/>
            <w:vAlign w:val="center"/>
            <w:hideMark/>
          </w:tcPr>
          <w:p w14:paraId="6C40B976"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General</w:t>
            </w:r>
          </w:p>
        </w:tc>
        <w:tc>
          <w:tcPr>
            <w:tcW w:w="0" w:type="auto"/>
            <w:shd w:val="clear" w:color="auto" w:fill="DBE5F1" w:themeFill="accent1" w:themeFillTint="33"/>
            <w:noWrap/>
            <w:vAlign w:val="center"/>
            <w:hideMark/>
          </w:tcPr>
          <w:p w14:paraId="0A17CDF8"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Certification</w:t>
            </w:r>
          </w:p>
        </w:tc>
        <w:tc>
          <w:tcPr>
            <w:tcW w:w="6958" w:type="dxa"/>
            <w:shd w:val="clear" w:color="auto" w:fill="DBE5F1" w:themeFill="accent1" w:themeFillTint="33"/>
            <w:noWrap/>
            <w:vAlign w:val="center"/>
            <w:hideMark/>
          </w:tcPr>
          <w:p w14:paraId="4E455E5D"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CE / FDA / ISO (specify)</w:t>
            </w:r>
          </w:p>
        </w:tc>
      </w:tr>
      <w:tr w:rsidR="00A33591" w:rsidRPr="00A33591" w14:paraId="11E78071" w14:textId="77777777" w:rsidTr="00A33591">
        <w:trPr>
          <w:trHeight w:val="288"/>
        </w:trPr>
        <w:tc>
          <w:tcPr>
            <w:cnfStyle w:val="001000000000" w:firstRow="0" w:lastRow="0" w:firstColumn="1" w:lastColumn="0" w:oddVBand="0" w:evenVBand="0" w:oddHBand="0" w:evenHBand="0" w:firstRowFirstColumn="0" w:firstRowLastColumn="0" w:lastRowFirstColumn="0" w:lastRowLastColumn="0"/>
            <w:tcW w:w="1964" w:type="dxa"/>
            <w:shd w:val="clear" w:color="auto" w:fill="DBE5F1" w:themeFill="accent1" w:themeFillTint="33"/>
            <w:noWrap/>
            <w:vAlign w:val="center"/>
            <w:hideMark/>
          </w:tcPr>
          <w:p w14:paraId="38B85423"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Dimensions</w:t>
            </w:r>
          </w:p>
        </w:tc>
        <w:tc>
          <w:tcPr>
            <w:tcW w:w="0" w:type="auto"/>
            <w:shd w:val="clear" w:color="auto" w:fill="DBE5F1" w:themeFill="accent1" w:themeFillTint="33"/>
            <w:noWrap/>
            <w:vAlign w:val="center"/>
            <w:hideMark/>
          </w:tcPr>
          <w:p w14:paraId="1280918B"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Mattress Size (cm)</w:t>
            </w:r>
          </w:p>
        </w:tc>
        <w:tc>
          <w:tcPr>
            <w:tcW w:w="6958" w:type="dxa"/>
            <w:shd w:val="clear" w:color="auto" w:fill="DBE5F1" w:themeFill="accent1" w:themeFillTint="33"/>
            <w:noWrap/>
            <w:vAlign w:val="center"/>
            <w:hideMark/>
          </w:tcPr>
          <w:p w14:paraId="695C3844"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200 (L) x 90 (W) x 11.5 Approx</w:t>
            </w:r>
          </w:p>
        </w:tc>
      </w:tr>
      <w:tr w:rsidR="00A33591" w:rsidRPr="00A33591" w14:paraId="4A715B68" w14:textId="77777777" w:rsidTr="00A3359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64" w:type="dxa"/>
            <w:shd w:val="clear" w:color="auto" w:fill="DBE5F1" w:themeFill="accent1" w:themeFillTint="33"/>
            <w:noWrap/>
            <w:vAlign w:val="center"/>
            <w:hideMark/>
          </w:tcPr>
          <w:p w14:paraId="79372C90"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Dimensions</w:t>
            </w:r>
          </w:p>
        </w:tc>
        <w:tc>
          <w:tcPr>
            <w:tcW w:w="0" w:type="auto"/>
            <w:shd w:val="clear" w:color="auto" w:fill="DBE5F1" w:themeFill="accent1" w:themeFillTint="33"/>
            <w:noWrap/>
            <w:vAlign w:val="center"/>
            <w:hideMark/>
          </w:tcPr>
          <w:p w14:paraId="54B59562"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Element Size (cm)</w:t>
            </w:r>
          </w:p>
        </w:tc>
        <w:tc>
          <w:tcPr>
            <w:tcW w:w="6958" w:type="dxa"/>
            <w:shd w:val="clear" w:color="auto" w:fill="DBE5F1" w:themeFill="accent1" w:themeFillTint="33"/>
            <w:noWrap/>
            <w:vAlign w:val="center"/>
            <w:hideMark/>
          </w:tcPr>
          <w:p w14:paraId="5530C138"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69 x 60 x 11.5</w:t>
            </w:r>
          </w:p>
        </w:tc>
      </w:tr>
      <w:tr w:rsidR="00A33591" w:rsidRPr="00A33591" w14:paraId="7BD22F2C" w14:textId="77777777" w:rsidTr="00A33591">
        <w:trPr>
          <w:trHeight w:val="288"/>
        </w:trPr>
        <w:tc>
          <w:tcPr>
            <w:cnfStyle w:val="001000000000" w:firstRow="0" w:lastRow="0" w:firstColumn="1" w:lastColumn="0" w:oddVBand="0" w:evenVBand="0" w:oddHBand="0" w:evenHBand="0" w:firstRowFirstColumn="0" w:firstRowLastColumn="0" w:lastRowFirstColumn="0" w:lastRowLastColumn="0"/>
            <w:tcW w:w="1964" w:type="dxa"/>
            <w:shd w:val="clear" w:color="auto" w:fill="DBE5F1" w:themeFill="accent1" w:themeFillTint="33"/>
            <w:noWrap/>
            <w:vAlign w:val="center"/>
            <w:hideMark/>
          </w:tcPr>
          <w:p w14:paraId="79CC8B5B"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Structure</w:t>
            </w:r>
          </w:p>
        </w:tc>
        <w:tc>
          <w:tcPr>
            <w:tcW w:w="0" w:type="auto"/>
            <w:shd w:val="clear" w:color="auto" w:fill="DBE5F1" w:themeFill="accent1" w:themeFillTint="33"/>
            <w:noWrap/>
            <w:vAlign w:val="center"/>
            <w:hideMark/>
          </w:tcPr>
          <w:p w14:paraId="370B1573"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Frame Type</w:t>
            </w:r>
          </w:p>
        </w:tc>
        <w:tc>
          <w:tcPr>
            <w:tcW w:w="6958" w:type="dxa"/>
            <w:shd w:val="clear" w:color="auto" w:fill="DBE5F1" w:themeFill="accent1" w:themeFillTint="33"/>
            <w:noWrap/>
            <w:vAlign w:val="center"/>
            <w:hideMark/>
          </w:tcPr>
          <w:p w14:paraId="3F42AC20"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Air-inflated</w:t>
            </w:r>
          </w:p>
        </w:tc>
      </w:tr>
      <w:tr w:rsidR="00A33591" w:rsidRPr="00A33591" w14:paraId="7FF8E043" w14:textId="77777777" w:rsidTr="00A3359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64" w:type="dxa"/>
            <w:shd w:val="clear" w:color="auto" w:fill="DBE5F1" w:themeFill="accent1" w:themeFillTint="33"/>
            <w:noWrap/>
            <w:vAlign w:val="center"/>
            <w:hideMark/>
          </w:tcPr>
          <w:p w14:paraId="4968AC3C"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Material</w:t>
            </w:r>
          </w:p>
        </w:tc>
        <w:tc>
          <w:tcPr>
            <w:tcW w:w="0" w:type="auto"/>
            <w:shd w:val="clear" w:color="auto" w:fill="DBE5F1" w:themeFill="accent1" w:themeFillTint="33"/>
            <w:noWrap/>
            <w:vAlign w:val="center"/>
            <w:hideMark/>
          </w:tcPr>
          <w:p w14:paraId="4FA46060"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Air Frame Material</w:t>
            </w:r>
          </w:p>
        </w:tc>
        <w:tc>
          <w:tcPr>
            <w:tcW w:w="6958" w:type="dxa"/>
            <w:shd w:val="clear" w:color="auto" w:fill="DBE5F1" w:themeFill="accent1" w:themeFillTint="33"/>
            <w:noWrap/>
            <w:vAlign w:val="center"/>
            <w:hideMark/>
          </w:tcPr>
          <w:p w14:paraId="70120FE6"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PVC / TPU / Thickness +K75</w:t>
            </w:r>
          </w:p>
        </w:tc>
      </w:tr>
      <w:tr w:rsidR="00A33591" w:rsidRPr="00A33591" w14:paraId="7BDCF783" w14:textId="77777777" w:rsidTr="00A33591">
        <w:trPr>
          <w:trHeight w:val="288"/>
        </w:trPr>
        <w:tc>
          <w:tcPr>
            <w:cnfStyle w:val="001000000000" w:firstRow="0" w:lastRow="0" w:firstColumn="1" w:lastColumn="0" w:oddVBand="0" w:evenVBand="0" w:oddHBand="0" w:evenHBand="0" w:firstRowFirstColumn="0" w:firstRowLastColumn="0" w:lastRowFirstColumn="0" w:lastRowLastColumn="0"/>
            <w:tcW w:w="1964" w:type="dxa"/>
            <w:shd w:val="clear" w:color="auto" w:fill="DBE5F1" w:themeFill="accent1" w:themeFillTint="33"/>
            <w:noWrap/>
            <w:vAlign w:val="center"/>
            <w:hideMark/>
          </w:tcPr>
          <w:p w14:paraId="09C07855"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Material</w:t>
            </w:r>
          </w:p>
        </w:tc>
        <w:tc>
          <w:tcPr>
            <w:tcW w:w="0" w:type="auto"/>
            <w:shd w:val="clear" w:color="auto" w:fill="DBE5F1" w:themeFill="accent1" w:themeFillTint="33"/>
            <w:noWrap/>
            <w:vAlign w:val="center"/>
            <w:hideMark/>
          </w:tcPr>
          <w:p w14:paraId="37D51073"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Water Chamber</w:t>
            </w:r>
          </w:p>
        </w:tc>
        <w:tc>
          <w:tcPr>
            <w:tcW w:w="6958" w:type="dxa"/>
            <w:shd w:val="clear" w:color="auto" w:fill="DBE5F1" w:themeFill="accent1" w:themeFillTint="33"/>
            <w:noWrap/>
            <w:vAlign w:val="center"/>
            <w:hideMark/>
          </w:tcPr>
          <w:p w14:paraId="03E4CEC4"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3 pieces</w:t>
            </w:r>
          </w:p>
        </w:tc>
      </w:tr>
      <w:tr w:rsidR="00A33591" w:rsidRPr="00A33591" w14:paraId="7E72D9F6" w14:textId="77777777" w:rsidTr="00A3359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64" w:type="dxa"/>
            <w:shd w:val="clear" w:color="auto" w:fill="DBE5F1" w:themeFill="accent1" w:themeFillTint="33"/>
            <w:noWrap/>
            <w:vAlign w:val="center"/>
            <w:hideMark/>
          </w:tcPr>
          <w:p w14:paraId="67105346"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Material</w:t>
            </w:r>
          </w:p>
        </w:tc>
        <w:tc>
          <w:tcPr>
            <w:tcW w:w="0" w:type="auto"/>
            <w:shd w:val="clear" w:color="auto" w:fill="DBE5F1" w:themeFill="accent1" w:themeFillTint="33"/>
            <w:noWrap/>
            <w:vAlign w:val="center"/>
            <w:hideMark/>
          </w:tcPr>
          <w:p w14:paraId="785799D7"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Water Chamber Material</w:t>
            </w:r>
          </w:p>
        </w:tc>
        <w:tc>
          <w:tcPr>
            <w:tcW w:w="6958" w:type="dxa"/>
            <w:shd w:val="clear" w:color="auto" w:fill="DBE5F1" w:themeFill="accent1" w:themeFillTint="33"/>
            <w:noWrap/>
            <w:vAlign w:val="center"/>
            <w:hideMark/>
          </w:tcPr>
          <w:p w14:paraId="53B5BF25"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 xml:space="preserve">Medical-grade, puncture-resistant PVC </w:t>
            </w:r>
            <w:proofErr w:type="spellStart"/>
            <w:r w:rsidRPr="00A33591">
              <w:rPr>
                <w:rFonts w:eastAsia="Times New Roman" w:cstheme="minorHAnsi"/>
                <w:color w:val="000000"/>
                <w:sz w:val="16"/>
                <w:szCs w:val="16"/>
                <w:lang w:val="en-US"/>
              </w:rPr>
              <w:t>orTPU</w:t>
            </w:r>
            <w:proofErr w:type="spellEnd"/>
            <w:r w:rsidRPr="00A33591">
              <w:rPr>
                <w:rFonts w:eastAsia="Times New Roman" w:cstheme="minorHAnsi"/>
                <w:color w:val="000000"/>
                <w:sz w:val="16"/>
                <w:szCs w:val="16"/>
                <w:lang w:val="en-US"/>
              </w:rPr>
              <w:t>, Heat-sealed</w:t>
            </w:r>
          </w:p>
        </w:tc>
      </w:tr>
      <w:tr w:rsidR="00A33591" w:rsidRPr="00A33591" w14:paraId="70722857" w14:textId="77777777" w:rsidTr="00A33591">
        <w:trPr>
          <w:trHeight w:val="288"/>
        </w:trPr>
        <w:tc>
          <w:tcPr>
            <w:cnfStyle w:val="001000000000" w:firstRow="0" w:lastRow="0" w:firstColumn="1" w:lastColumn="0" w:oddVBand="0" w:evenVBand="0" w:oddHBand="0" w:evenHBand="0" w:firstRowFirstColumn="0" w:firstRowLastColumn="0" w:lastRowFirstColumn="0" w:lastRowLastColumn="0"/>
            <w:tcW w:w="1964" w:type="dxa"/>
            <w:shd w:val="clear" w:color="auto" w:fill="DBE5F1" w:themeFill="accent1" w:themeFillTint="33"/>
            <w:noWrap/>
            <w:vAlign w:val="center"/>
            <w:hideMark/>
          </w:tcPr>
          <w:p w14:paraId="1720A54F"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Performance</w:t>
            </w:r>
          </w:p>
        </w:tc>
        <w:tc>
          <w:tcPr>
            <w:tcW w:w="0" w:type="auto"/>
            <w:shd w:val="clear" w:color="auto" w:fill="DBE5F1" w:themeFill="accent1" w:themeFillTint="33"/>
            <w:noWrap/>
            <w:vAlign w:val="center"/>
            <w:hideMark/>
          </w:tcPr>
          <w:p w14:paraId="5A7293C0"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Max Weight Capacity (kg)</w:t>
            </w:r>
          </w:p>
        </w:tc>
        <w:tc>
          <w:tcPr>
            <w:tcW w:w="6958" w:type="dxa"/>
            <w:shd w:val="clear" w:color="auto" w:fill="DBE5F1" w:themeFill="accent1" w:themeFillTint="33"/>
            <w:noWrap/>
            <w:vAlign w:val="center"/>
            <w:hideMark/>
          </w:tcPr>
          <w:p w14:paraId="789B1499"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≤120</w:t>
            </w:r>
          </w:p>
        </w:tc>
      </w:tr>
      <w:tr w:rsidR="00A33591" w:rsidRPr="00A33591" w14:paraId="039F8C66" w14:textId="77777777" w:rsidTr="00A3359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64" w:type="dxa"/>
            <w:shd w:val="clear" w:color="auto" w:fill="DBE5F1" w:themeFill="accent1" w:themeFillTint="33"/>
            <w:noWrap/>
            <w:vAlign w:val="center"/>
            <w:hideMark/>
          </w:tcPr>
          <w:p w14:paraId="66828E0F"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Accessories</w:t>
            </w:r>
          </w:p>
        </w:tc>
        <w:tc>
          <w:tcPr>
            <w:tcW w:w="0" w:type="auto"/>
            <w:shd w:val="clear" w:color="auto" w:fill="DBE5F1" w:themeFill="accent1" w:themeFillTint="33"/>
            <w:noWrap/>
            <w:vAlign w:val="center"/>
            <w:hideMark/>
          </w:tcPr>
          <w:p w14:paraId="3990CA6A"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Water Hose</w:t>
            </w:r>
          </w:p>
        </w:tc>
        <w:tc>
          <w:tcPr>
            <w:tcW w:w="6958" w:type="dxa"/>
            <w:shd w:val="clear" w:color="auto" w:fill="DBE5F1" w:themeFill="accent1" w:themeFillTint="33"/>
            <w:noWrap/>
            <w:vAlign w:val="center"/>
            <w:hideMark/>
          </w:tcPr>
          <w:p w14:paraId="02B20CBE" w14:textId="0CD44D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Included</w:t>
            </w:r>
          </w:p>
        </w:tc>
      </w:tr>
      <w:tr w:rsidR="00A33591" w:rsidRPr="00A33591" w14:paraId="1ED28992" w14:textId="77777777" w:rsidTr="00A33591">
        <w:trPr>
          <w:trHeight w:val="288"/>
        </w:trPr>
        <w:tc>
          <w:tcPr>
            <w:cnfStyle w:val="001000000000" w:firstRow="0" w:lastRow="0" w:firstColumn="1" w:lastColumn="0" w:oddVBand="0" w:evenVBand="0" w:oddHBand="0" w:evenHBand="0" w:firstRowFirstColumn="0" w:firstRowLastColumn="0" w:lastRowFirstColumn="0" w:lastRowLastColumn="0"/>
            <w:tcW w:w="1964" w:type="dxa"/>
            <w:shd w:val="clear" w:color="auto" w:fill="DBE5F1" w:themeFill="accent1" w:themeFillTint="33"/>
            <w:noWrap/>
            <w:vAlign w:val="center"/>
            <w:hideMark/>
          </w:tcPr>
          <w:p w14:paraId="1AD9E174"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Accessories</w:t>
            </w:r>
          </w:p>
        </w:tc>
        <w:tc>
          <w:tcPr>
            <w:tcW w:w="0" w:type="auto"/>
            <w:shd w:val="clear" w:color="auto" w:fill="DBE5F1" w:themeFill="accent1" w:themeFillTint="33"/>
            <w:noWrap/>
            <w:vAlign w:val="center"/>
            <w:hideMark/>
          </w:tcPr>
          <w:p w14:paraId="33AAD2AF" w14:textId="77777777"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Repair Kit</w:t>
            </w:r>
          </w:p>
        </w:tc>
        <w:tc>
          <w:tcPr>
            <w:tcW w:w="6958" w:type="dxa"/>
            <w:shd w:val="clear" w:color="auto" w:fill="DBE5F1" w:themeFill="accent1" w:themeFillTint="33"/>
            <w:noWrap/>
            <w:vAlign w:val="center"/>
            <w:hideMark/>
          </w:tcPr>
          <w:p w14:paraId="3B614CF8" w14:textId="47AC792A" w:rsidR="00A33591" w:rsidRPr="00A33591" w:rsidRDefault="00A33591" w:rsidP="00A3359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Included</w:t>
            </w:r>
          </w:p>
        </w:tc>
      </w:tr>
      <w:tr w:rsidR="00A33591" w:rsidRPr="00A33591" w14:paraId="6D1D1246" w14:textId="77777777" w:rsidTr="00A3359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64" w:type="dxa"/>
            <w:shd w:val="clear" w:color="auto" w:fill="DBE5F1" w:themeFill="accent1" w:themeFillTint="33"/>
            <w:noWrap/>
            <w:vAlign w:val="center"/>
            <w:hideMark/>
          </w:tcPr>
          <w:p w14:paraId="0DF45C24" w14:textId="77777777" w:rsidR="00A33591" w:rsidRPr="00A33591" w:rsidRDefault="00A33591" w:rsidP="00A33591">
            <w:pPr>
              <w:jc w:val="center"/>
              <w:rPr>
                <w:rFonts w:eastAsia="Times New Roman" w:cstheme="minorHAnsi"/>
                <w:color w:val="000000"/>
                <w:sz w:val="16"/>
                <w:szCs w:val="16"/>
                <w:lang w:val="en-US"/>
              </w:rPr>
            </w:pPr>
            <w:r w:rsidRPr="00A33591">
              <w:rPr>
                <w:rFonts w:eastAsia="Times New Roman" w:cstheme="minorHAnsi"/>
                <w:color w:val="000000"/>
                <w:sz w:val="16"/>
                <w:szCs w:val="16"/>
                <w:lang w:val="en-US"/>
              </w:rPr>
              <w:t>Accessories</w:t>
            </w:r>
          </w:p>
        </w:tc>
        <w:tc>
          <w:tcPr>
            <w:tcW w:w="0" w:type="auto"/>
            <w:shd w:val="clear" w:color="auto" w:fill="DBE5F1" w:themeFill="accent1" w:themeFillTint="33"/>
            <w:noWrap/>
            <w:vAlign w:val="center"/>
            <w:hideMark/>
          </w:tcPr>
          <w:p w14:paraId="727F8A19" w14:textId="77777777"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Air Pump</w:t>
            </w:r>
          </w:p>
        </w:tc>
        <w:tc>
          <w:tcPr>
            <w:tcW w:w="6958" w:type="dxa"/>
            <w:shd w:val="clear" w:color="auto" w:fill="DBE5F1" w:themeFill="accent1" w:themeFillTint="33"/>
            <w:noWrap/>
            <w:vAlign w:val="center"/>
            <w:hideMark/>
          </w:tcPr>
          <w:p w14:paraId="21E1C3B1" w14:textId="3EB11D2B" w:rsidR="00A33591" w:rsidRPr="00A33591" w:rsidRDefault="00A33591" w:rsidP="00A3359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A33591">
              <w:rPr>
                <w:rFonts w:eastAsia="Times New Roman" w:cstheme="minorHAnsi"/>
                <w:color w:val="000000"/>
                <w:sz w:val="16"/>
                <w:szCs w:val="16"/>
                <w:lang w:val="en-US"/>
              </w:rPr>
              <w:t>Included</w:t>
            </w:r>
          </w:p>
        </w:tc>
      </w:tr>
    </w:tbl>
    <w:p w14:paraId="680F64BB" w14:textId="77777777" w:rsidR="00A33591" w:rsidRPr="00A33591" w:rsidRDefault="00A33591" w:rsidP="004845E8">
      <w:pPr>
        <w:spacing w:after="0" w:line="240" w:lineRule="auto"/>
        <w:rPr>
          <w:b/>
          <w:bCs/>
          <w:u w:val="single"/>
          <w:lang w:val="en-US"/>
        </w:rPr>
      </w:pPr>
    </w:p>
    <w:sectPr w:rsidR="00A33591" w:rsidRPr="00A33591"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BF386" w14:textId="77777777" w:rsidR="00F26C91" w:rsidRDefault="00F26C91" w:rsidP="00ED3A74">
      <w:pPr>
        <w:spacing w:after="0" w:line="240" w:lineRule="auto"/>
      </w:pPr>
      <w:r>
        <w:separator/>
      </w:r>
    </w:p>
  </w:endnote>
  <w:endnote w:type="continuationSeparator" w:id="0">
    <w:p w14:paraId="710F9546" w14:textId="77777777" w:rsidR="00F26C91" w:rsidRDefault="00F26C91" w:rsidP="00ED3A74">
      <w:pPr>
        <w:spacing w:after="0" w:line="240" w:lineRule="auto"/>
      </w:pPr>
      <w:r>
        <w:continuationSeparator/>
      </w:r>
    </w:p>
  </w:endnote>
  <w:endnote w:type="continuationNotice" w:id="1">
    <w:p w14:paraId="5EA113CE" w14:textId="77777777" w:rsidR="00F26C91" w:rsidRDefault="00F26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85456" w14:textId="77777777" w:rsidR="00F26C91" w:rsidRDefault="00F26C91" w:rsidP="00ED3A74">
      <w:pPr>
        <w:spacing w:after="0" w:line="240" w:lineRule="auto"/>
      </w:pPr>
      <w:r>
        <w:separator/>
      </w:r>
    </w:p>
  </w:footnote>
  <w:footnote w:type="continuationSeparator" w:id="0">
    <w:p w14:paraId="3EDF32D2" w14:textId="77777777" w:rsidR="00F26C91" w:rsidRDefault="00F26C91" w:rsidP="00ED3A74">
      <w:pPr>
        <w:spacing w:after="0" w:line="240" w:lineRule="auto"/>
      </w:pPr>
      <w:r>
        <w:continuationSeparator/>
      </w:r>
    </w:p>
  </w:footnote>
  <w:footnote w:type="continuationNotice" w:id="1">
    <w:p w14:paraId="0373F929" w14:textId="77777777" w:rsidR="00F26C91" w:rsidRDefault="00F26C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59D005A6" w:rsidR="001505A8" w:rsidRDefault="001505A8" w:rsidP="001505A8">
    <w:pPr>
      <w:pStyle w:val="Header"/>
      <w:jc w:val="right"/>
      <w:rPr>
        <w:noProof/>
      </w:rPr>
    </w:pPr>
    <w:r>
      <w:t>Tender reference: 202</w:t>
    </w:r>
    <w:r w:rsidR="00A438D7">
      <w:t>6-</w:t>
    </w:r>
    <w:r w:rsidR="006B6099">
      <w:t>0</w:t>
    </w:r>
    <w:r w:rsidR="00A33591">
      <w:t>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5"/>
  </w:num>
  <w:num w:numId="6" w16cid:durableId="1426072520">
    <w:abstractNumId w:val="20"/>
  </w:num>
  <w:num w:numId="7" w16cid:durableId="227501363">
    <w:abstractNumId w:val="3"/>
  </w:num>
  <w:num w:numId="8" w16cid:durableId="491944188">
    <w:abstractNumId w:val="9"/>
  </w:num>
  <w:num w:numId="9" w16cid:durableId="433482495">
    <w:abstractNumId w:val="29"/>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7"/>
  </w:num>
  <w:num w:numId="15" w16cid:durableId="684288697">
    <w:abstractNumId w:val="24"/>
  </w:num>
  <w:num w:numId="16" w16cid:durableId="1207595752">
    <w:abstractNumId w:val="28"/>
  </w:num>
  <w:num w:numId="17" w16cid:durableId="822283985">
    <w:abstractNumId w:val="21"/>
  </w:num>
  <w:num w:numId="18" w16cid:durableId="185872980">
    <w:abstractNumId w:val="26"/>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0"/>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3C81"/>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180F"/>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A6CD0"/>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46203"/>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3591"/>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797"/>
    <w:rsid w:val="00F138FE"/>
    <w:rsid w:val="00F144AF"/>
    <w:rsid w:val="00F16FF5"/>
    <w:rsid w:val="00F17476"/>
    <w:rsid w:val="00F17AA9"/>
    <w:rsid w:val="00F22626"/>
    <w:rsid w:val="00F226EC"/>
    <w:rsid w:val="00F2302A"/>
    <w:rsid w:val="00F243BB"/>
    <w:rsid w:val="00F24AD4"/>
    <w:rsid w:val="00F26A18"/>
    <w:rsid w:val="00F26C91"/>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1">
    <w:name w:val="Plain Table 1"/>
    <w:basedOn w:val="TableNormal"/>
    <w:uiPriority w:val="41"/>
    <w:rsid w:val="00A335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816</TotalTime>
  <Pages>2</Pages>
  <Words>543</Words>
  <Characters>2872</Characters>
  <Application>Microsoft Office Word</Application>
  <DocSecurity>0</DocSecurity>
  <Lines>168</Lines>
  <Paragraphs>142</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66</cp:revision>
  <cp:lastPrinted>2025-04-09T08:02:00Z</cp:lastPrinted>
  <dcterms:created xsi:type="dcterms:W3CDTF">2025-05-20T16:45:00Z</dcterms:created>
  <dcterms:modified xsi:type="dcterms:W3CDTF">2026-05-26T08:44:00Z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