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02121AD7" w14:textId="48E6ED49" w:rsidR="00B17B17" w:rsidRPr="00497E74" w:rsidRDefault="00497E74" w:rsidP="00497E74">
      <w:pPr>
        <w:pStyle w:val="ListParagraph"/>
        <w:numPr>
          <w:ilvl w:val="0"/>
          <w:numId w:val="6"/>
        </w:numPr>
        <w:rPr>
          <w:rFonts w:cstheme="minorHAnsi"/>
        </w:rPr>
      </w:pPr>
      <w:r w:rsidRPr="00497E74">
        <w:rPr>
          <w:rFonts w:cstheme="minorHAnsi"/>
        </w:rPr>
        <w:t xml:space="preserve">The contract will be awarded to the bidder achieving the </w:t>
      </w:r>
      <w:r w:rsidRPr="00497E74">
        <w:rPr>
          <w:rFonts w:cstheme="minorHAnsi"/>
          <w:b/>
          <w:bCs/>
        </w:rPr>
        <w:t>highest combined technical and financial score</w:t>
      </w:r>
      <w:r>
        <w:rPr>
          <w:rFonts w:cstheme="minorHAnsi"/>
        </w:rPr>
        <w:t>.</w:t>
      </w:r>
    </w:p>
    <w:p w14:paraId="33EC04AD" w14:textId="77777777" w:rsidR="00497E74" w:rsidRPr="00497E74" w:rsidRDefault="00497E74" w:rsidP="00497E74">
      <w:pPr>
        <w:pStyle w:val="ListParagraph"/>
        <w:numPr>
          <w:ilvl w:val="0"/>
          <w:numId w:val="6"/>
        </w:numPr>
        <w:rPr>
          <w:rFonts w:cstheme="minorHAnsi"/>
          <w:color w:val="000000" w:themeColor="text1"/>
        </w:rPr>
      </w:pPr>
      <w:r w:rsidRPr="00497E74">
        <w:rPr>
          <w:rFonts w:cstheme="minorHAnsi"/>
          <w:u w:val="single"/>
        </w:rPr>
        <w:t xml:space="preserve">Bidders are not permitted to alter the section labelled </w:t>
      </w:r>
      <w:r w:rsidRPr="00497E74">
        <w:rPr>
          <w:rFonts w:cstheme="minorHAnsi"/>
          <w:b/>
          <w:bCs/>
          <w:u w:val="single"/>
        </w:rPr>
        <w:t>“LRC to complete”</w:t>
      </w:r>
      <w:r w:rsidRPr="00497E74">
        <w:rPr>
          <w:rFonts w:cstheme="minorHAnsi"/>
          <w:u w:val="single"/>
        </w:rPr>
        <w:t>. No alternative templates may be used.</w:t>
      </w:r>
    </w:p>
    <w:p w14:paraId="70C1600A" w14:textId="49D9645C" w:rsidR="00B17B17" w:rsidRPr="00E7331E" w:rsidRDefault="00B17B17" w:rsidP="00497E74">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2CBF768A" w14:textId="6E21B465" w:rsidR="000F28AB" w:rsidRDefault="000F28AB" w:rsidP="001503AB">
      <w:pPr>
        <w:pStyle w:val="ListParagraph"/>
        <w:numPr>
          <w:ilvl w:val="0"/>
          <w:numId w:val="6"/>
        </w:numPr>
        <w:rPr>
          <w:rFonts w:cstheme="minorHAnsi"/>
          <w:color w:val="000000" w:themeColor="text1"/>
        </w:rPr>
      </w:pPr>
      <w:r>
        <w:rPr>
          <w:rFonts w:cstheme="minorHAnsi"/>
          <w:color w:val="000000" w:themeColor="text1"/>
        </w:rPr>
        <w:t>The below quantities are estimated might increase or decrease upon the needs of LRC.</w:t>
      </w:r>
    </w:p>
    <w:p w14:paraId="13DA8919" w14:textId="5AE48F6E" w:rsidR="00480400" w:rsidRDefault="00480400" w:rsidP="001503AB">
      <w:pPr>
        <w:pStyle w:val="ListParagraph"/>
        <w:numPr>
          <w:ilvl w:val="0"/>
          <w:numId w:val="6"/>
        </w:numPr>
        <w:rPr>
          <w:rFonts w:cstheme="minorHAnsi"/>
          <w:color w:val="000000" w:themeColor="text1"/>
        </w:rPr>
      </w:pPr>
      <w:r>
        <w:rPr>
          <w:rFonts w:cstheme="minorHAnsi"/>
          <w:color w:val="000000" w:themeColor="text1"/>
        </w:rPr>
        <w:t xml:space="preserve">One Bidder will be awarded to the whole lots. </w:t>
      </w:r>
    </w:p>
    <w:p w14:paraId="2F05F131" w14:textId="75F7D2B7" w:rsidR="00894053" w:rsidRPr="00894053" w:rsidRDefault="00894053" w:rsidP="001503AB">
      <w:pPr>
        <w:pStyle w:val="ListParagraph"/>
        <w:numPr>
          <w:ilvl w:val="0"/>
          <w:numId w:val="6"/>
        </w:numPr>
        <w:rPr>
          <w:rFonts w:cstheme="minorHAnsi"/>
          <w:color w:val="000000" w:themeColor="text1"/>
          <w:highlight w:val="yellow"/>
        </w:rPr>
      </w:pPr>
      <w:r w:rsidRPr="00894053">
        <w:rPr>
          <w:rFonts w:cstheme="minorHAnsi"/>
          <w:color w:val="000000" w:themeColor="text1"/>
          <w:highlight w:val="yellow"/>
        </w:rPr>
        <w:t>Bidder is required to fill up the below tables, no other form is accepted</w:t>
      </w:r>
    </w:p>
    <w:p w14:paraId="46A8F8DD" w14:textId="3459545E" w:rsidR="00BC3FB3" w:rsidRPr="00BC3FB3" w:rsidRDefault="00BC3FB3" w:rsidP="00BC3FB3">
      <w:pPr>
        <w:rPr>
          <w:rFonts w:cstheme="minorHAnsi"/>
          <w:b/>
          <w:bCs/>
          <w:color w:val="548DD4" w:themeColor="text2" w:themeTint="99"/>
          <w:sz w:val="18"/>
          <w:szCs w:val="18"/>
          <w:u w:val="single"/>
        </w:rPr>
      </w:pPr>
      <w:r w:rsidRPr="00BC3FB3">
        <w:rPr>
          <w:rFonts w:cstheme="minorHAnsi"/>
          <w:b/>
          <w:bCs/>
          <w:color w:val="548DD4" w:themeColor="text2" w:themeTint="99"/>
          <w:sz w:val="18"/>
          <w:szCs w:val="18"/>
          <w:u w:val="single"/>
        </w:rPr>
        <w:t>Lot 1</w:t>
      </w:r>
      <w:r w:rsidR="00BC2D4D">
        <w:rPr>
          <w:rFonts w:cstheme="minorHAnsi"/>
          <w:b/>
          <w:bCs/>
          <w:color w:val="548DD4" w:themeColor="text2" w:themeTint="99"/>
          <w:sz w:val="18"/>
          <w:szCs w:val="18"/>
          <w:u w:val="single"/>
        </w:rPr>
        <w:t>:</w:t>
      </w:r>
      <w:r w:rsidRPr="00BC3FB3">
        <w:rPr>
          <w:rFonts w:cstheme="minorHAnsi"/>
          <w:b/>
          <w:bCs/>
          <w:color w:val="548DD4" w:themeColor="text2" w:themeTint="99"/>
          <w:sz w:val="18"/>
          <w:szCs w:val="18"/>
          <w:u w:val="single"/>
        </w:rPr>
        <w:t xml:space="preserve"> </w:t>
      </w:r>
      <w:r w:rsidR="00BC2D4D" w:rsidRPr="00BC2D4D">
        <w:rPr>
          <w:rFonts w:cstheme="minorHAnsi"/>
          <w:b/>
          <w:bCs/>
          <w:color w:val="548DD4" w:themeColor="text2" w:themeTint="99"/>
          <w:sz w:val="18"/>
          <w:szCs w:val="18"/>
          <w:u w:val="single"/>
        </w:rPr>
        <w:t>Implementation of Microsoft Dynamics 365 Finance &amp; Operations</w:t>
      </w:r>
    </w:p>
    <w:tbl>
      <w:tblPr>
        <w:tblW w:w="15718" w:type="dxa"/>
        <w:tblInd w:w="-1000" w:type="dxa"/>
        <w:tblLook w:val="04A0" w:firstRow="1" w:lastRow="0" w:firstColumn="1" w:lastColumn="0" w:noHBand="0" w:noVBand="1"/>
      </w:tblPr>
      <w:tblGrid>
        <w:gridCol w:w="1108"/>
        <w:gridCol w:w="3752"/>
        <w:gridCol w:w="1407"/>
        <w:gridCol w:w="1023"/>
        <w:gridCol w:w="3330"/>
        <w:gridCol w:w="1597"/>
        <w:gridCol w:w="3501"/>
      </w:tblGrid>
      <w:tr w:rsidR="00332521" w:rsidRPr="00332521" w14:paraId="0BA162FD" w14:textId="77777777" w:rsidTr="00332521">
        <w:trPr>
          <w:trHeight w:val="210"/>
        </w:trPr>
        <w:tc>
          <w:tcPr>
            <w:tcW w:w="7290" w:type="dxa"/>
            <w:gridSpan w:val="4"/>
            <w:tcBorders>
              <w:top w:val="single" w:sz="8" w:space="0" w:color="auto"/>
              <w:left w:val="single" w:sz="8" w:space="0" w:color="auto"/>
              <w:bottom w:val="nil"/>
              <w:right w:val="single" w:sz="8" w:space="0" w:color="000000"/>
            </w:tcBorders>
            <w:shd w:val="clear" w:color="000000" w:fill="4F81BD"/>
            <w:noWrap/>
            <w:vAlign w:val="center"/>
            <w:hideMark/>
          </w:tcPr>
          <w:p w14:paraId="1E510596"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LRC To Complete</w:t>
            </w:r>
          </w:p>
        </w:tc>
        <w:tc>
          <w:tcPr>
            <w:tcW w:w="8428" w:type="dxa"/>
            <w:gridSpan w:val="3"/>
            <w:tcBorders>
              <w:top w:val="single" w:sz="8" w:space="0" w:color="auto"/>
              <w:left w:val="nil"/>
              <w:bottom w:val="single" w:sz="4" w:space="0" w:color="auto"/>
              <w:right w:val="nil"/>
            </w:tcBorders>
            <w:shd w:val="clear" w:color="000000" w:fill="4F81BD"/>
            <w:noWrap/>
            <w:vAlign w:val="center"/>
            <w:hideMark/>
          </w:tcPr>
          <w:p w14:paraId="255010CE"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 xml:space="preserve">Bidder to Complete </w:t>
            </w:r>
          </w:p>
        </w:tc>
      </w:tr>
      <w:tr w:rsidR="00332521" w:rsidRPr="00332521" w14:paraId="22912CEB" w14:textId="77777777" w:rsidTr="00332521">
        <w:trPr>
          <w:trHeight w:val="841"/>
        </w:trPr>
        <w:tc>
          <w:tcPr>
            <w:tcW w:w="110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95F4792"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 xml:space="preserve">Item number </w:t>
            </w:r>
          </w:p>
        </w:tc>
        <w:tc>
          <w:tcPr>
            <w:tcW w:w="3752" w:type="dxa"/>
            <w:tcBorders>
              <w:top w:val="single" w:sz="4" w:space="0" w:color="auto"/>
              <w:left w:val="nil"/>
              <w:bottom w:val="single" w:sz="4" w:space="0" w:color="auto"/>
              <w:right w:val="single" w:sz="4" w:space="0" w:color="auto"/>
            </w:tcBorders>
            <w:shd w:val="clear" w:color="000000" w:fill="DBE5F1"/>
            <w:vAlign w:val="center"/>
            <w:hideMark/>
          </w:tcPr>
          <w:p w14:paraId="674986B3"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Item/Milestone Required</w:t>
            </w:r>
          </w:p>
        </w:tc>
        <w:tc>
          <w:tcPr>
            <w:tcW w:w="1407" w:type="dxa"/>
            <w:tcBorders>
              <w:top w:val="single" w:sz="4" w:space="0" w:color="auto"/>
              <w:left w:val="nil"/>
              <w:bottom w:val="single" w:sz="4" w:space="0" w:color="auto"/>
              <w:right w:val="single" w:sz="4" w:space="0" w:color="auto"/>
            </w:tcBorders>
            <w:shd w:val="clear" w:color="000000" w:fill="DBE5F1"/>
            <w:vAlign w:val="center"/>
            <w:hideMark/>
          </w:tcPr>
          <w:p w14:paraId="0AC178FE"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Required UOM</w:t>
            </w:r>
          </w:p>
        </w:tc>
        <w:tc>
          <w:tcPr>
            <w:tcW w:w="1023" w:type="dxa"/>
            <w:tcBorders>
              <w:top w:val="single" w:sz="4" w:space="0" w:color="auto"/>
              <w:left w:val="nil"/>
              <w:bottom w:val="single" w:sz="4" w:space="0" w:color="auto"/>
              <w:right w:val="single" w:sz="4" w:space="0" w:color="auto"/>
            </w:tcBorders>
            <w:shd w:val="clear" w:color="000000" w:fill="DBE5F1"/>
            <w:vAlign w:val="center"/>
            <w:hideMark/>
          </w:tcPr>
          <w:p w14:paraId="3B4B5455"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Estimated Qty</w:t>
            </w:r>
          </w:p>
        </w:tc>
        <w:tc>
          <w:tcPr>
            <w:tcW w:w="3330" w:type="dxa"/>
            <w:tcBorders>
              <w:top w:val="nil"/>
              <w:left w:val="nil"/>
              <w:bottom w:val="single" w:sz="4" w:space="0" w:color="auto"/>
              <w:right w:val="single" w:sz="4" w:space="0" w:color="auto"/>
            </w:tcBorders>
            <w:shd w:val="clear" w:color="000000" w:fill="DBE5F1"/>
            <w:vAlign w:val="center"/>
            <w:hideMark/>
          </w:tcPr>
          <w:p w14:paraId="53EF1339" w14:textId="0B043B24"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 xml:space="preserve">Total Price in USD, Exclusive VAT rated at 11%, but inclusive Labor, </w:t>
            </w:r>
            <w:r w:rsidRPr="00332521">
              <w:rPr>
                <w:rFonts w:ascii="Calibri" w:eastAsia="Times New Roman" w:hAnsi="Calibri" w:cs="Calibri"/>
                <w:b/>
                <w:bCs/>
                <w:color w:val="000000"/>
                <w:sz w:val="18"/>
                <w:szCs w:val="18"/>
                <w:lang w:val="en-US"/>
              </w:rPr>
              <w:t>Installation, Bank</w:t>
            </w:r>
            <w:r w:rsidRPr="00332521">
              <w:rPr>
                <w:rFonts w:ascii="Calibri" w:eastAsia="Times New Roman" w:hAnsi="Calibri" w:cs="Calibri"/>
                <w:b/>
                <w:bCs/>
                <w:color w:val="000000"/>
                <w:sz w:val="18"/>
                <w:szCs w:val="18"/>
                <w:lang w:val="en-US"/>
              </w:rPr>
              <w:t xml:space="preserve"> Transfer Fees, and all other fees</w:t>
            </w:r>
          </w:p>
        </w:tc>
        <w:tc>
          <w:tcPr>
            <w:tcW w:w="1597" w:type="dxa"/>
            <w:tcBorders>
              <w:top w:val="nil"/>
              <w:left w:val="nil"/>
              <w:bottom w:val="single" w:sz="4" w:space="0" w:color="auto"/>
              <w:right w:val="single" w:sz="4" w:space="0" w:color="auto"/>
            </w:tcBorders>
            <w:shd w:val="clear" w:color="000000" w:fill="DBE5F1"/>
            <w:vAlign w:val="center"/>
            <w:hideMark/>
          </w:tcPr>
          <w:p w14:paraId="15C16373" w14:textId="77777777"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VAT (%)</w:t>
            </w:r>
          </w:p>
        </w:tc>
        <w:tc>
          <w:tcPr>
            <w:tcW w:w="0" w:type="auto"/>
            <w:tcBorders>
              <w:top w:val="nil"/>
              <w:left w:val="nil"/>
              <w:bottom w:val="single" w:sz="4" w:space="0" w:color="auto"/>
              <w:right w:val="single" w:sz="4" w:space="0" w:color="auto"/>
            </w:tcBorders>
            <w:shd w:val="clear" w:color="000000" w:fill="DBE5F1"/>
            <w:vAlign w:val="center"/>
            <w:hideMark/>
          </w:tcPr>
          <w:p w14:paraId="37110247" w14:textId="09E9BFEB" w:rsidR="00332521" w:rsidRPr="00332521" w:rsidRDefault="00332521" w:rsidP="00332521">
            <w:pPr>
              <w:spacing w:after="0" w:line="240" w:lineRule="auto"/>
              <w:jc w:val="center"/>
              <w:rPr>
                <w:rFonts w:ascii="Calibri" w:eastAsia="Times New Roman" w:hAnsi="Calibri" w:cs="Calibri"/>
                <w:b/>
                <w:bCs/>
                <w:color w:val="000000"/>
                <w:sz w:val="18"/>
                <w:szCs w:val="18"/>
                <w:lang w:val="en-US"/>
              </w:rPr>
            </w:pPr>
            <w:r w:rsidRPr="00332521">
              <w:rPr>
                <w:rFonts w:ascii="Calibri" w:eastAsia="Times New Roman" w:hAnsi="Calibri" w:cs="Calibri"/>
                <w:b/>
                <w:bCs/>
                <w:color w:val="000000"/>
                <w:sz w:val="18"/>
                <w:szCs w:val="18"/>
                <w:lang w:val="en-US"/>
              </w:rPr>
              <w:t xml:space="preserve">Total Price in USD, inclusive VAT, Labor, </w:t>
            </w:r>
            <w:r w:rsidRPr="00332521">
              <w:rPr>
                <w:rFonts w:ascii="Calibri" w:eastAsia="Times New Roman" w:hAnsi="Calibri" w:cs="Calibri"/>
                <w:b/>
                <w:bCs/>
                <w:color w:val="000000"/>
                <w:sz w:val="18"/>
                <w:szCs w:val="18"/>
                <w:lang w:val="en-US"/>
              </w:rPr>
              <w:t>Installation, Bank</w:t>
            </w:r>
            <w:r w:rsidRPr="00332521">
              <w:rPr>
                <w:rFonts w:ascii="Calibri" w:eastAsia="Times New Roman" w:hAnsi="Calibri" w:cs="Calibri"/>
                <w:b/>
                <w:bCs/>
                <w:color w:val="000000"/>
                <w:sz w:val="18"/>
                <w:szCs w:val="18"/>
                <w:lang w:val="en-US"/>
              </w:rPr>
              <w:t xml:space="preserve"> Transfer Fees, and all other fees</w:t>
            </w:r>
          </w:p>
        </w:tc>
      </w:tr>
      <w:tr w:rsidR="00332521" w:rsidRPr="00332521" w14:paraId="1DA635D7"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6FBD76CB"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752" w:type="dxa"/>
            <w:tcBorders>
              <w:top w:val="nil"/>
              <w:left w:val="nil"/>
              <w:bottom w:val="single" w:sz="4" w:space="0" w:color="auto"/>
              <w:right w:val="single" w:sz="4" w:space="0" w:color="auto"/>
            </w:tcBorders>
            <w:vAlign w:val="center"/>
            <w:hideMark/>
          </w:tcPr>
          <w:p w14:paraId="52832A67"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Implementation and Configuration</w:t>
            </w:r>
          </w:p>
        </w:tc>
        <w:tc>
          <w:tcPr>
            <w:tcW w:w="1407" w:type="dxa"/>
            <w:tcBorders>
              <w:top w:val="nil"/>
              <w:left w:val="nil"/>
              <w:bottom w:val="single" w:sz="4" w:space="0" w:color="auto"/>
              <w:right w:val="single" w:sz="4" w:space="0" w:color="auto"/>
            </w:tcBorders>
            <w:vAlign w:val="center"/>
            <w:hideMark/>
          </w:tcPr>
          <w:p w14:paraId="0CFE978C"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Lump Sum</w:t>
            </w:r>
          </w:p>
        </w:tc>
        <w:tc>
          <w:tcPr>
            <w:tcW w:w="1023" w:type="dxa"/>
            <w:tcBorders>
              <w:top w:val="nil"/>
              <w:left w:val="nil"/>
              <w:bottom w:val="single" w:sz="4" w:space="0" w:color="auto"/>
              <w:right w:val="single" w:sz="4" w:space="0" w:color="auto"/>
            </w:tcBorders>
            <w:vAlign w:val="center"/>
            <w:hideMark/>
          </w:tcPr>
          <w:p w14:paraId="1E089F71"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4BD973C3"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703AE524"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noWrap/>
            <w:vAlign w:val="center"/>
            <w:hideMark/>
          </w:tcPr>
          <w:p w14:paraId="1E758619"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68C3D4F0"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0C6C3AE5"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2</w:t>
            </w:r>
          </w:p>
        </w:tc>
        <w:tc>
          <w:tcPr>
            <w:tcW w:w="3752" w:type="dxa"/>
            <w:tcBorders>
              <w:top w:val="nil"/>
              <w:left w:val="nil"/>
              <w:bottom w:val="single" w:sz="4" w:space="0" w:color="auto"/>
              <w:right w:val="single" w:sz="4" w:space="0" w:color="auto"/>
            </w:tcBorders>
            <w:vAlign w:val="center"/>
            <w:hideMark/>
          </w:tcPr>
          <w:p w14:paraId="2F1C291A"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Microsoft Dynamics 365 Licenses</w:t>
            </w:r>
          </w:p>
        </w:tc>
        <w:tc>
          <w:tcPr>
            <w:tcW w:w="1407" w:type="dxa"/>
            <w:tcBorders>
              <w:top w:val="nil"/>
              <w:left w:val="nil"/>
              <w:bottom w:val="single" w:sz="4" w:space="0" w:color="auto"/>
              <w:right w:val="single" w:sz="4" w:space="0" w:color="auto"/>
            </w:tcBorders>
            <w:vAlign w:val="center"/>
            <w:hideMark/>
          </w:tcPr>
          <w:p w14:paraId="66618FFA"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Annual</w:t>
            </w:r>
          </w:p>
        </w:tc>
        <w:tc>
          <w:tcPr>
            <w:tcW w:w="1023" w:type="dxa"/>
            <w:tcBorders>
              <w:top w:val="nil"/>
              <w:left w:val="nil"/>
              <w:bottom w:val="single" w:sz="4" w:space="0" w:color="auto"/>
              <w:right w:val="single" w:sz="4" w:space="0" w:color="auto"/>
            </w:tcBorders>
            <w:vAlign w:val="center"/>
            <w:hideMark/>
          </w:tcPr>
          <w:p w14:paraId="47DD593D"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11B556D3"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74D09213"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0" w:type="auto"/>
            <w:tcBorders>
              <w:top w:val="nil"/>
              <w:left w:val="nil"/>
              <w:bottom w:val="single" w:sz="4" w:space="0" w:color="auto"/>
              <w:right w:val="single" w:sz="4" w:space="0" w:color="auto"/>
            </w:tcBorders>
            <w:noWrap/>
            <w:vAlign w:val="center"/>
            <w:hideMark/>
          </w:tcPr>
          <w:p w14:paraId="0080D04D"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74339D29"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3BCCF985"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3</w:t>
            </w:r>
          </w:p>
        </w:tc>
        <w:tc>
          <w:tcPr>
            <w:tcW w:w="3752" w:type="dxa"/>
            <w:tcBorders>
              <w:top w:val="nil"/>
              <w:left w:val="nil"/>
              <w:bottom w:val="single" w:sz="4" w:space="0" w:color="auto"/>
              <w:right w:val="single" w:sz="4" w:space="0" w:color="auto"/>
            </w:tcBorders>
            <w:vAlign w:val="center"/>
            <w:hideMark/>
          </w:tcPr>
          <w:p w14:paraId="418D2BB3"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Data Migration</w:t>
            </w:r>
          </w:p>
        </w:tc>
        <w:tc>
          <w:tcPr>
            <w:tcW w:w="1407" w:type="dxa"/>
            <w:tcBorders>
              <w:top w:val="nil"/>
              <w:left w:val="nil"/>
              <w:bottom w:val="single" w:sz="4" w:space="0" w:color="auto"/>
              <w:right w:val="single" w:sz="4" w:space="0" w:color="auto"/>
            </w:tcBorders>
            <w:vAlign w:val="center"/>
            <w:hideMark/>
          </w:tcPr>
          <w:p w14:paraId="5FD23756"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Lump Sum</w:t>
            </w:r>
          </w:p>
        </w:tc>
        <w:tc>
          <w:tcPr>
            <w:tcW w:w="1023" w:type="dxa"/>
            <w:tcBorders>
              <w:top w:val="nil"/>
              <w:left w:val="nil"/>
              <w:bottom w:val="single" w:sz="4" w:space="0" w:color="auto"/>
              <w:right w:val="single" w:sz="4" w:space="0" w:color="auto"/>
            </w:tcBorders>
            <w:vAlign w:val="center"/>
            <w:hideMark/>
          </w:tcPr>
          <w:p w14:paraId="1EA1B8C2"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3D39AE23"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68DA4F60"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noWrap/>
            <w:vAlign w:val="center"/>
            <w:hideMark/>
          </w:tcPr>
          <w:p w14:paraId="1A240DD6"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1E04A41A"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7B21269A"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4</w:t>
            </w:r>
          </w:p>
        </w:tc>
        <w:tc>
          <w:tcPr>
            <w:tcW w:w="3752" w:type="dxa"/>
            <w:tcBorders>
              <w:top w:val="nil"/>
              <w:left w:val="nil"/>
              <w:bottom w:val="single" w:sz="4" w:space="0" w:color="auto"/>
              <w:right w:val="single" w:sz="4" w:space="0" w:color="auto"/>
            </w:tcBorders>
            <w:vAlign w:val="center"/>
            <w:hideMark/>
          </w:tcPr>
          <w:p w14:paraId="41D2D3C3"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Integration</w:t>
            </w:r>
          </w:p>
        </w:tc>
        <w:tc>
          <w:tcPr>
            <w:tcW w:w="1407" w:type="dxa"/>
            <w:tcBorders>
              <w:top w:val="nil"/>
              <w:left w:val="nil"/>
              <w:bottom w:val="single" w:sz="4" w:space="0" w:color="auto"/>
              <w:right w:val="single" w:sz="4" w:space="0" w:color="auto"/>
            </w:tcBorders>
            <w:vAlign w:val="center"/>
            <w:hideMark/>
          </w:tcPr>
          <w:p w14:paraId="5012B662"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Lump Sum</w:t>
            </w:r>
          </w:p>
        </w:tc>
        <w:tc>
          <w:tcPr>
            <w:tcW w:w="1023" w:type="dxa"/>
            <w:tcBorders>
              <w:top w:val="nil"/>
              <w:left w:val="nil"/>
              <w:bottom w:val="single" w:sz="4" w:space="0" w:color="auto"/>
              <w:right w:val="single" w:sz="4" w:space="0" w:color="auto"/>
            </w:tcBorders>
            <w:vAlign w:val="center"/>
            <w:hideMark/>
          </w:tcPr>
          <w:p w14:paraId="78EB9F92"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0255994E"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28E70327"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0" w:type="auto"/>
            <w:tcBorders>
              <w:top w:val="nil"/>
              <w:left w:val="nil"/>
              <w:bottom w:val="single" w:sz="4" w:space="0" w:color="auto"/>
              <w:right w:val="single" w:sz="4" w:space="0" w:color="auto"/>
            </w:tcBorders>
            <w:noWrap/>
            <w:vAlign w:val="center"/>
            <w:hideMark/>
          </w:tcPr>
          <w:p w14:paraId="4170C364"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26225702"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33184BF1"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5</w:t>
            </w:r>
          </w:p>
        </w:tc>
        <w:tc>
          <w:tcPr>
            <w:tcW w:w="3752" w:type="dxa"/>
            <w:tcBorders>
              <w:top w:val="nil"/>
              <w:left w:val="nil"/>
              <w:bottom w:val="single" w:sz="4" w:space="0" w:color="auto"/>
              <w:right w:val="single" w:sz="4" w:space="0" w:color="auto"/>
            </w:tcBorders>
            <w:vAlign w:val="center"/>
            <w:hideMark/>
          </w:tcPr>
          <w:p w14:paraId="462635DE"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Reporting and Dashboards</w:t>
            </w:r>
          </w:p>
        </w:tc>
        <w:tc>
          <w:tcPr>
            <w:tcW w:w="1407" w:type="dxa"/>
            <w:tcBorders>
              <w:top w:val="nil"/>
              <w:left w:val="nil"/>
              <w:bottom w:val="single" w:sz="4" w:space="0" w:color="auto"/>
              <w:right w:val="single" w:sz="4" w:space="0" w:color="auto"/>
            </w:tcBorders>
            <w:vAlign w:val="center"/>
            <w:hideMark/>
          </w:tcPr>
          <w:p w14:paraId="42ED4CE8"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Lump Sum</w:t>
            </w:r>
          </w:p>
        </w:tc>
        <w:tc>
          <w:tcPr>
            <w:tcW w:w="1023" w:type="dxa"/>
            <w:tcBorders>
              <w:top w:val="nil"/>
              <w:left w:val="nil"/>
              <w:bottom w:val="single" w:sz="4" w:space="0" w:color="auto"/>
              <w:right w:val="single" w:sz="4" w:space="0" w:color="auto"/>
            </w:tcBorders>
            <w:vAlign w:val="center"/>
            <w:hideMark/>
          </w:tcPr>
          <w:p w14:paraId="24AC3028"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7CC03A21"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75830EC1"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0" w:type="auto"/>
            <w:tcBorders>
              <w:top w:val="nil"/>
              <w:left w:val="nil"/>
              <w:bottom w:val="single" w:sz="4" w:space="0" w:color="auto"/>
              <w:right w:val="single" w:sz="4" w:space="0" w:color="auto"/>
            </w:tcBorders>
            <w:noWrap/>
            <w:vAlign w:val="center"/>
            <w:hideMark/>
          </w:tcPr>
          <w:p w14:paraId="3FD9EB3D"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201A5179"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0E70A505"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6</w:t>
            </w:r>
          </w:p>
        </w:tc>
        <w:tc>
          <w:tcPr>
            <w:tcW w:w="3752" w:type="dxa"/>
            <w:tcBorders>
              <w:top w:val="nil"/>
              <w:left w:val="nil"/>
              <w:bottom w:val="single" w:sz="4" w:space="0" w:color="auto"/>
              <w:right w:val="single" w:sz="4" w:space="0" w:color="auto"/>
            </w:tcBorders>
            <w:vAlign w:val="center"/>
            <w:hideMark/>
          </w:tcPr>
          <w:p w14:paraId="12777AA0"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xml:space="preserve">Training </w:t>
            </w:r>
          </w:p>
        </w:tc>
        <w:tc>
          <w:tcPr>
            <w:tcW w:w="1407" w:type="dxa"/>
            <w:tcBorders>
              <w:top w:val="nil"/>
              <w:left w:val="nil"/>
              <w:bottom w:val="single" w:sz="4" w:space="0" w:color="auto"/>
              <w:right w:val="single" w:sz="4" w:space="0" w:color="auto"/>
            </w:tcBorders>
            <w:vAlign w:val="center"/>
            <w:hideMark/>
          </w:tcPr>
          <w:p w14:paraId="0CA7FC62"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Lump Sum</w:t>
            </w:r>
          </w:p>
        </w:tc>
        <w:tc>
          <w:tcPr>
            <w:tcW w:w="1023" w:type="dxa"/>
            <w:tcBorders>
              <w:top w:val="nil"/>
              <w:left w:val="nil"/>
              <w:bottom w:val="single" w:sz="4" w:space="0" w:color="auto"/>
              <w:right w:val="single" w:sz="4" w:space="0" w:color="auto"/>
            </w:tcBorders>
            <w:vAlign w:val="center"/>
            <w:hideMark/>
          </w:tcPr>
          <w:p w14:paraId="2389EE2E"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7D83257C"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2B4210E4"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noWrap/>
            <w:vAlign w:val="center"/>
            <w:hideMark/>
          </w:tcPr>
          <w:p w14:paraId="208EC4A2"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1EFDC670"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2CB44189"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7</w:t>
            </w:r>
          </w:p>
        </w:tc>
        <w:tc>
          <w:tcPr>
            <w:tcW w:w="3752" w:type="dxa"/>
            <w:tcBorders>
              <w:top w:val="nil"/>
              <w:left w:val="nil"/>
              <w:bottom w:val="single" w:sz="4" w:space="0" w:color="auto"/>
              <w:right w:val="single" w:sz="4" w:space="0" w:color="auto"/>
            </w:tcBorders>
            <w:vAlign w:val="center"/>
            <w:hideMark/>
          </w:tcPr>
          <w:p w14:paraId="1A42EF8D"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Support and SLA — Year 1</w:t>
            </w:r>
          </w:p>
        </w:tc>
        <w:tc>
          <w:tcPr>
            <w:tcW w:w="1407" w:type="dxa"/>
            <w:tcBorders>
              <w:top w:val="nil"/>
              <w:left w:val="nil"/>
              <w:bottom w:val="single" w:sz="4" w:space="0" w:color="auto"/>
              <w:right w:val="single" w:sz="4" w:space="0" w:color="auto"/>
            </w:tcBorders>
            <w:vAlign w:val="center"/>
            <w:hideMark/>
          </w:tcPr>
          <w:p w14:paraId="14ECB257"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Year</w:t>
            </w:r>
          </w:p>
        </w:tc>
        <w:tc>
          <w:tcPr>
            <w:tcW w:w="1023" w:type="dxa"/>
            <w:tcBorders>
              <w:top w:val="nil"/>
              <w:left w:val="nil"/>
              <w:bottom w:val="single" w:sz="4" w:space="0" w:color="auto"/>
              <w:right w:val="single" w:sz="4" w:space="0" w:color="auto"/>
            </w:tcBorders>
            <w:vAlign w:val="center"/>
            <w:hideMark/>
          </w:tcPr>
          <w:p w14:paraId="57827D55"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440F1BE4"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12ADD6E4"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0" w:type="auto"/>
            <w:tcBorders>
              <w:top w:val="nil"/>
              <w:left w:val="nil"/>
              <w:bottom w:val="single" w:sz="4" w:space="0" w:color="auto"/>
              <w:right w:val="single" w:sz="4" w:space="0" w:color="auto"/>
            </w:tcBorders>
            <w:noWrap/>
            <w:vAlign w:val="center"/>
            <w:hideMark/>
          </w:tcPr>
          <w:p w14:paraId="3219B33C"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0602603E"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08B26EAA"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8</w:t>
            </w:r>
          </w:p>
        </w:tc>
        <w:tc>
          <w:tcPr>
            <w:tcW w:w="3752" w:type="dxa"/>
            <w:tcBorders>
              <w:top w:val="nil"/>
              <w:left w:val="nil"/>
              <w:bottom w:val="single" w:sz="4" w:space="0" w:color="auto"/>
              <w:right w:val="single" w:sz="4" w:space="0" w:color="auto"/>
            </w:tcBorders>
            <w:vAlign w:val="center"/>
            <w:hideMark/>
          </w:tcPr>
          <w:p w14:paraId="404C172C"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Development Man-Day</w:t>
            </w:r>
          </w:p>
        </w:tc>
        <w:tc>
          <w:tcPr>
            <w:tcW w:w="1407" w:type="dxa"/>
            <w:tcBorders>
              <w:top w:val="nil"/>
              <w:left w:val="nil"/>
              <w:bottom w:val="single" w:sz="4" w:space="0" w:color="auto"/>
              <w:right w:val="single" w:sz="4" w:space="0" w:color="auto"/>
            </w:tcBorders>
            <w:vAlign w:val="center"/>
            <w:hideMark/>
          </w:tcPr>
          <w:p w14:paraId="4221BB4A"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Man-Day</w:t>
            </w:r>
          </w:p>
        </w:tc>
        <w:tc>
          <w:tcPr>
            <w:tcW w:w="1023" w:type="dxa"/>
            <w:tcBorders>
              <w:top w:val="nil"/>
              <w:left w:val="nil"/>
              <w:bottom w:val="single" w:sz="4" w:space="0" w:color="auto"/>
              <w:right w:val="single" w:sz="4" w:space="0" w:color="auto"/>
            </w:tcBorders>
            <w:vAlign w:val="center"/>
            <w:hideMark/>
          </w:tcPr>
          <w:p w14:paraId="231AEA97"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5AA65B20"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1597" w:type="dxa"/>
            <w:tcBorders>
              <w:top w:val="nil"/>
              <w:left w:val="nil"/>
              <w:bottom w:val="single" w:sz="4" w:space="0" w:color="auto"/>
              <w:right w:val="single" w:sz="4" w:space="0" w:color="auto"/>
            </w:tcBorders>
            <w:vAlign w:val="center"/>
            <w:hideMark/>
          </w:tcPr>
          <w:p w14:paraId="3B02C446"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0" w:type="auto"/>
            <w:tcBorders>
              <w:top w:val="nil"/>
              <w:left w:val="nil"/>
              <w:bottom w:val="single" w:sz="4" w:space="0" w:color="auto"/>
              <w:right w:val="single" w:sz="4" w:space="0" w:color="auto"/>
            </w:tcBorders>
            <w:noWrap/>
            <w:vAlign w:val="center"/>
            <w:hideMark/>
          </w:tcPr>
          <w:p w14:paraId="74308F9D"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332521" w:rsidRPr="00332521" w14:paraId="2906A0F1" w14:textId="77777777" w:rsidTr="00332521">
        <w:trPr>
          <w:trHeight w:val="203"/>
        </w:trPr>
        <w:tc>
          <w:tcPr>
            <w:tcW w:w="1108" w:type="dxa"/>
            <w:tcBorders>
              <w:top w:val="nil"/>
              <w:left w:val="single" w:sz="4" w:space="0" w:color="auto"/>
              <w:bottom w:val="single" w:sz="4" w:space="0" w:color="auto"/>
              <w:right w:val="single" w:sz="4" w:space="0" w:color="auto"/>
            </w:tcBorders>
            <w:vAlign w:val="center"/>
            <w:hideMark/>
          </w:tcPr>
          <w:p w14:paraId="2432D4B6"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3752" w:type="dxa"/>
            <w:tcBorders>
              <w:top w:val="nil"/>
              <w:left w:val="nil"/>
              <w:bottom w:val="single" w:sz="4" w:space="0" w:color="auto"/>
              <w:right w:val="single" w:sz="4" w:space="0" w:color="auto"/>
            </w:tcBorders>
            <w:vAlign w:val="center"/>
            <w:hideMark/>
          </w:tcPr>
          <w:p w14:paraId="4D1707B5"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Total — Year 1</w:t>
            </w:r>
          </w:p>
        </w:tc>
        <w:tc>
          <w:tcPr>
            <w:tcW w:w="1407" w:type="dxa"/>
            <w:tcBorders>
              <w:top w:val="nil"/>
              <w:left w:val="nil"/>
              <w:bottom w:val="single" w:sz="4" w:space="0" w:color="auto"/>
              <w:right w:val="single" w:sz="4" w:space="0" w:color="auto"/>
            </w:tcBorders>
            <w:vAlign w:val="center"/>
            <w:hideMark/>
          </w:tcPr>
          <w:p w14:paraId="078F906F" w14:textId="4BF5220B"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r>
              <w:rPr>
                <w:rFonts w:ascii="Calibri" w:eastAsia="Times New Roman" w:hAnsi="Calibri" w:cs="Calibri"/>
                <w:b/>
                <w:bCs/>
                <w:color w:val="000000"/>
                <w:sz w:val="19"/>
                <w:szCs w:val="19"/>
                <w:lang w:val="en-US"/>
              </w:rPr>
              <w:t>Y</w:t>
            </w:r>
            <w:r w:rsidR="008E33D5">
              <w:rPr>
                <w:rFonts w:ascii="Calibri" w:eastAsia="Times New Roman" w:hAnsi="Calibri" w:cs="Calibri"/>
                <w:b/>
                <w:bCs/>
                <w:color w:val="000000"/>
                <w:sz w:val="19"/>
                <w:szCs w:val="19"/>
                <w:lang w:val="en-US"/>
              </w:rPr>
              <w:t>EAR</w:t>
            </w:r>
          </w:p>
        </w:tc>
        <w:tc>
          <w:tcPr>
            <w:tcW w:w="1023" w:type="dxa"/>
            <w:tcBorders>
              <w:top w:val="nil"/>
              <w:left w:val="nil"/>
              <w:bottom w:val="single" w:sz="4" w:space="0" w:color="auto"/>
              <w:right w:val="single" w:sz="4" w:space="0" w:color="auto"/>
            </w:tcBorders>
            <w:vAlign w:val="center"/>
            <w:hideMark/>
          </w:tcPr>
          <w:p w14:paraId="29A4B875" w14:textId="44094BA8"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2F453AF2"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1597" w:type="dxa"/>
            <w:tcBorders>
              <w:top w:val="nil"/>
              <w:left w:val="nil"/>
              <w:bottom w:val="single" w:sz="4" w:space="0" w:color="auto"/>
              <w:right w:val="single" w:sz="4" w:space="0" w:color="auto"/>
            </w:tcBorders>
            <w:vAlign w:val="center"/>
            <w:hideMark/>
          </w:tcPr>
          <w:p w14:paraId="0DF3129C" w14:textId="77777777" w:rsidR="00332521" w:rsidRPr="00332521" w:rsidRDefault="00332521" w:rsidP="00332521">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p>
        </w:tc>
        <w:tc>
          <w:tcPr>
            <w:tcW w:w="0" w:type="auto"/>
            <w:tcBorders>
              <w:top w:val="nil"/>
              <w:left w:val="nil"/>
              <w:bottom w:val="single" w:sz="4" w:space="0" w:color="auto"/>
              <w:right w:val="single" w:sz="4" w:space="0" w:color="auto"/>
            </w:tcBorders>
            <w:noWrap/>
            <w:vAlign w:val="center"/>
            <w:hideMark/>
          </w:tcPr>
          <w:p w14:paraId="411DA318" w14:textId="77777777" w:rsidR="00332521" w:rsidRPr="00332521" w:rsidRDefault="00332521" w:rsidP="00332521">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r w:rsidR="00D628F7" w:rsidRPr="00332521" w14:paraId="0E0781D9" w14:textId="77777777" w:rsidTr="005F1EFD">
        <w:trPr>
          <w:trHeight w:val="203"/>
        </w:trPr>
        <w:tc>
          <w:tcPr>
            <w:tcW w:w="1108" w:type="dxa"/>
            <w:tcBorders>
              <w:top w:val="nil"/>
              <w:left w:val="single" w:sz="4" w:space="0" w:color="auto"/>
              <w:bottom w:val="single" w:sz="4" w:space="0" w:color="auto"/>
              <w:right w:val="single" w:sz="4" w:space="0" w:color="auto"/>
            </w:tcBorders>
            <w:vAlign w:val="center"/>
          </w:tcPr>
          <w:p w14:paraId="1D88A1F3" w14:textId="77777777"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p>
        </w:tc>
        <w:tc>
          <w:tcPr>
            <w:tcW w:w="3752" w:type="dxa"/>
            <w:tcBorders>
              <w:top w:val="nil"/>
              <w:left w:val="nil"/>
              <w:bottom w:val="single" w:sz="4" w:space="0" w:color="auto"/>
              <w:right w:val="single" w:sz="4" w:space="0" w:color="auto"/>
            </w:tcBorders>
            <w:vAlign w:val="center"/>
          </w:tcPr>
          <w:p w14:paraId="1DB9B821" w14:textId="552C7F42"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r>
              <w:rPr>
                <w:rFonts w:ascii="Calibri" w:eastAsia="Times New Roman" w:hAnsi="Calibri" w:cs="Calibri"/>
                <w:b/>
                <w:bCs/>
                <w:color w:val="000000"/>
                <w:sz w:val="19"/>
                <w:szCs w:val="19"/>
                <w:lang w:val="en-US"/>
              </w:rPr>
              <w:t>Total – Year 2</w:t>
            </w:r>
          </w:p>
        </w:tc>
        <w:tc>
          <w:tcPr>
            <w:tcW w:w="1407" w:type="dxa"/>
            <w:tcBorders>
              <w:top w:val="nil"/>
              <w:left w:val="nil"/>
              <w:bottom w:val="single" w:sz="4" w:space="0" w:color="auto"/>
              <w:right w:val="single" w:sz="4" w:space="0" w:color="auto"/>
            </w:tcBorders>
            <w:vAlign w:val="center"/>
          </w:tcPr>
          <w:p w14:paraId="78D97D16" w14:textId="3FEA74D2"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r>
              <w:rPr>
                <w:rFonts w:ascii="Calibri" w:eastAsia="Times New Roman" w:hAnsi="Calibri" w:cs="Calibri"/>
                <w:b/>
                <w:bCs/>
                <w:color w:val="000000"/>
                <w:sz w:val="19"/>
                <w:szCs w:val="19"/>
                <w:lang w:val="en-US"/>
              </w:rPr>
              <w:t>YEAR</w:t>
            </w:r>
          </w:p>
        </w:tc>
        <w:tc>
          <w:tcPr>
            <w:tcW w:w="1023" w:type="dxa"/>
            <w:tcBorders>
              <w:top w:val="nil"/>
              <w:left w:val="nil"/>
              <w:bottom w:val="single" w:sz="4" w:space="0" w:color="auto"/>
              <w:right w:val="single" w:sz="4" w:space="0" w:color="auto"/>
            </w:tcBorders>
          </w:tcPr>
          <w:p w14:paraId="4AA0B08C" w14:textId="14D14AB5" w:rsidR="00D628F7" w:rsidRDefault="00D628F7" w:rsidP="00D628F7">
            <w:pPr>
              <w:spacing w:after="0" w:line="240" w:lineRule="auto"/>
              <w:jc w:val="center"/>
              <w:rPr>
                <w:rFonts w:ascii="Calibri" w:eastAsia="Times New Roman" w:hAnsi="Calibri" w:cs="Calibri"/>
                <w:b/>
                <w:bCs/>
                <w:color w:val="000000"/>
                <w:sz w:val="19"/>
                <w:szCs w:val="19"/>
                <w:lang w:val="en-US"/>
              </w:rPr>
            </w:pPr>
            <w:r w:rsidRPr="00C376A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tcPr>
          <w:p w14:paraId="11A1D8EF" w14:textId="77777777"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p>
        </w:tc>
        <w:tc>
          <w:tcPr>
            <w:tcW w:w="1597" w:type="dxa"/>
            <w:tcBorders>
              <w:top w:val="nil"/>
              <w:left w:val="nil"/>
              <w:bottom w:val="single" w:sz="4" w:space="0" w:color="auto"/>
              <w:right w:val="single" w:sz="4" w:space="0" w:color="auto"/>
            </w:tcBorders>
            <w:vAlign w:val="center"/>
          </w:tcPr>
          <w:p w14:paraId="090BF5C9" w14:textId="77777777"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p>
        </w:tc>
        <w:tc>
          <w:tcPr>
            <w:tcW w:w="0" w:type="auto"/>
            <w:tcBorders>
              <w:top w:val="nil"/>
              <w:left w:val="nil"/>
              <w:bottom w:val="single" w:sz="4" w:space="0" w:color="auto"/>
              <w:right w:val="single" w:sz="4" w:space="0" w:color="auto"/>
            </w:tcBorders>
            <w:noWrap/>
            <w:vAlign w:val="center"/>
          </w:tcPr>
          <w:p w14:paraId="2AE0D2E6" w14:textId="77777777" w:rsidR="00D628F7" w:rsidRPr="00332521" w:rsidRDefault="00D628F7" w:rsidP="00D628F7">
            <w:pPr>
              <w:spacing w:after="0" w:line="240" w:lineRule="auto"/>
              <w:jc w:val="center"/>
              <w:rPr>
                <w:rFonts w:ascii="Calibri" w:eastAsia="Times New Roman" w:hAnsi="Calibri" w:cs="Calibri"/>
                <w:b/>
                <w:bCs/>
                <w:color w:val="000000"/>
                <w:lang w:val="en-US"/>
              </w:rPr>
            </w:pPr>
          </w:p>
        </w:tc>
      </w:tr>
      <w:tr w:rsidR="00D628F7" w:rsidRPr="00332521" w14:paraId="3D145A6C" w14:textId="77777777" w:rsidTr="005F1EFD">
        <w:trPr>
          <w:trHeight w:val="203"/>
        </w:trPr>
        <w:tc>
          <w:tcPr>
            <w:tcW w:w="1108" w:type="dxa"/>
            <w:tcBorders>
              <w:top w:val="nil"/>
              <w:left w:val="single" w:sz="4" w:space="0" w:color="auto"/>
              <w:bottom w:val="single" w:sz="4" w:space="0" w:color="auto"/>
              <w:right w:val="single" w:sz="4" w:space="0" w:color="auto"/>
            </w:tcBorders>
            <w:vAlign w:val="center"/>
            <w:hideMark/>
          </w:tcPr>
          <w:p w14:paraId="7E59137D" w14:textId="77777777" w:rsidR="00D628F7" w:rsidRPr="00332521" w:rsidRDefault="00D628F7" w:rsidP="00D628F7">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3752" w:type="dxa"/>
            <w:tcBorders>
              <w:top w:val="nil"/>
              <w:left w:val="nil"/>
              <w:bottom w:val="single" w:sz="4" w:space="0" w:color="auto"/>
              <w:right w:val="single" w:sz="4" w:space="0" w:color="auto"/>
            </w:tcBorders>
            <w:vAlign w:val="center"/>
            <w:hideMark/>
          </w:tcPr>
          <w:p w14:paraId="3A4DAFBA" w14:textId="4D0B2480"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To</w:t>
            </w:r>
            <w:r>
              <w:rPr>
                <w:rFonts w:ascii="Calibri" w:eastAsia="Times New Roman" w:hAnsi="Calibri" w:cs="Calibri"/>
                <w:b/>
                <w:bCs/>
                <w:color w:val="000000"/>
                <w:sz w:val="19"/>
                <w:szCs w:val="19"/>
                <w:lang w:val="en-US"/>
              </w:rPr>
              <w:t xml:space="preserve">tal – Year 3 </w:t>
            </w:r>
          </w:p>
        </w:tc>
        <w:tc>
          <w:tcPr>
            <w:tcW w:w="1407" w:type="dxa"/>
            <w:tcBorders>
              <w:top w:val="nil"/>
              <w:left w:val="nil"/>
              <w:bottom w:val="single" w:sz="4" w:space="0" w:color="auto"/>
              <w:right w:val="single" w:sz="4" w:space="0" w:color="auto"/>
            </w:tcBorders>
            <w:vAlign w:val="center"/>
            <w:hideMark/>
          </w:tcPr>
          <w:p w14:paraId="515B3C39" w14:textId="5471ADAE" w:rsidR="00D628F7" w:rsidRPr="00332521" w:rsidRDefault="00D628F7" w:rsidP="00D628F7">
            <w:pPr>
              <w:spacing w:after="0" w:line="240" w:lineRule="auto"/>
              <w:jc w:val="center"/>
              <w:rPr>
                <w:rFonts w:ascii="Calibri" w:eastAsia="Times New Roman" w:hAnsi="Calibri" w:cs="Calibri"/>
                <w:b/>
                <w:bCs/>
                <w:color w:val="000000"/>
                <w:sz w:val="19"/>
                <w:szCs w:val="19"/>
                <w:lang w:val="en-US"/>
              </w:rPr>
            </w:pPr>
            <w:r w:rsidRPr="00332521">
              <w:rPr>
                <w:rFonts w:ascii="Calibri" w:eastAsia="Times New Roman" w:hAnsi="Calibri" w:cs="Calibri"/>
                <w:b/>
                <w:bCs/>
                <w:color w:val="000000"/>
                <w:sz w:val="19"/>
                <w:szCs w:val="19"/>
                <w:lang w:val="en-US"/>
              </w:rPr>
              <w:t> </w:t>
            </w:r>
            <w:r w:rsidRPr="00332521">
              <w:rPr>
                <w:rFonts w:ascii="Calibri" w:eastAsia="Times New Roman" w:hAnsi="Calibri" w:cs="Calibri"/>
                <w:b/>
                <w:bCs/>
                <w:color w:val="000000"/>
                <w:sz w:val="19"/>
                <w:szCs w:val="19"/>
                <w:lang w:val="en-US"/>
              </w:rPr>
              <w:t>YEAR</w:t>
            </w:r>
          </w:p>
        </w:tc>
        <w:tc>
          <w:tcPr>
            <w:tcW w:w="1023" w:type="dxa"/>
            <w:tcBorders>
              <w:top w:val="nil"/>
              <w:left w:val="nil"/>
              <w:bottom w:val="single" w:sz="4" w:space="0" w:color="auto"/>
              <w:right w:val="single" w:sz="4" w:space="0" w:color="auto"/>
            </w:tcBorders>
            <w:hideMark/>
          </w:tcPr>
          <w:p w14:paraId="342245C0" w14:textId="7350300D" w:rsidR="00D628F7" w:rsidRPr="00332521" w:rsidRDefault="00D628F7" w:rsidP="00D628F7">
            <w:pPr>
              <w:spacing w:after="0" w:line="240" w:lineRule="auto"/>
              <w:jc w:val="center"/>
              <w:rPr>
                <w:rFonts w:ascii="Calibri" w:eastAsia="Times New Roman" w:hAnsi="Calibri" w:cs="Calibri"/>
                <w:b/>
                <w:bCs/>
                <w:color w:val="000000"/>
                <w:lang w:val="en-US"/>
              </w:rPr>
            </w:pPr>
            <w:r w:rsidRPr="00C376A1">
              <w:rPr>
                <w:rFonts w:ascii="Calibri" w:eastAsia="Times New Roman" w:hAnsi="Calibri" w:cs="Calibri"/>
                <w:b/>
                <w:bCs/>
                <w:color w:val="000000"/>
                <w:sz w:val="19"/>
                <w:szCs w:val="19"/>
                <w:lang w:val="en-US"/>
              </w:rPr>
              <w:t>1</w:t>
            </w:r>
          </w:p>
        </w:tc>
        <w:tc>
          <w:tcPr>
            <w:tcW w:w="3330" w:type="dxa"/>
            <w:tcBorders>
              <w:top w:val="nil"/>
              <w:left w:val="nil"/>
              <w:bottom w:val="single" w:sz="4" w:space="0" w:color="auto"/>
              <w:right w:val="single" w:sz="4" w:space="0" w:color="auto"/>
            </w:tcBorders>
            <w:vAlign w:val="center"/>
            <w:hideMark/>
          </w:tcPr>
          <w:p w14:paraId="21DAB7EF" w14:textId="77777777" w:rsidR="00D628F7" w:rsidRPr="00332521" w:rsidRDefault="00D628F7" w:rsidP="00D628F7">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1597" w:type="dxa"/>
            <w:tcBorders>
              <w:top w:val="nil"/>
              <w:left w:val="nil"/>
              <w:bottom w:val="single" w:sz="4" w:space="0" w:color="auto"/>
              <w:right w:val="single" w:sz="4" w:space="0" w:color="auto"/>
            </w:tcBorders>
            <w:vAlign w:val="center"/>
            <w:hideMark/>
          </w:tcPr>
          <w:p w14:paraId="5ECF15DA" w14:textId="77777777" w:rsidR="00D628F7" w:rsidRPr="00332521" w:rsidRDefault="00D628F7" w:rsidP="00D628F7">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c>
          <w:tcPr>
            <w:tcW w:w="0" w:type="auto"/>
            <w:tcBorders>
              <w:top w:val="nil"/>
              <w:left w:val="nil"/>
              <w:bottom w:val="single" w:sz="4" w:space="0" w:color="auto"/>
              <w:right w:val="single" w:sz="4" w:space="0" w:color="auto"/>
            </w:tcBorders>
            <w:noWrap/>
            <w:vAlign w:val="center"/>
            <w:hideMark/>
          </w:tcPr>
          <w:p w14:paraId="498637B8" w14:textId="77777777" w:rsidR="00D628F7" w:rsidRPr="00332521" w:rsidRDefault="00D628F7" w:rsidP="00D628F7">
            <w:pPr>
              <w:spacing w:after="0" w:line="240" w:lineRule="auto"/>
              <w:jc w:val="center"/>
              <w:rPr>
                <w:rFonts w:ascii="Calibri" w:eastAsia="Times New Roman" w:hAnsi="Calibri" w:cs="Calibri"/>
                <w:b/>
                <w:bCs/>
                <w:color w:val="000000"/>
                <w:lang w:val="en-US"/>
              </w:rPr>
            </w:pPr>
            <w:r w:rsidRPr="00332521">
              <w:rPr>
                <w:rFonts w:ascii="Calibri" w:eastAsia="Times New Roman" w:hAnsi="Calibri" w:cs="Calibri"/>
                <w:b/>
                <w:bCs/>
                <w:color w:val="000000"/>
                <w:lang w:val="en-US"/>
              </w:rPr>
              <w:t> </w:t>
            </w:r>
          </w:p>
        </w:tc>
      </w:tr>
    </w:tbl>
    <w:p w14:paraId="023F01EE" w14:textId="77777777" w:rsidR="00332521" w:rsidRDefault="00332521" w:rsidP="00A24F29">
      <w:pPr>
        <w:ind w:left="720"/>
        <w:rPr>
          <w:rFonts w:cstheme="minorHAnsi"/>
          <w:b/>
          <w:bCs/>
          <w:color w:val="000000" w:themeColor="text1"/>
          <w:sz w:val="18"/>
          <w:szCs w:val="18"/>
        </w:rPr>
      </w:pPr>
    </w:p>
    <w:p w14:paraId="095B4D05" w14:textId="77777777" w:rsidR="00332521" w:rsidRDefault="00332521" w:rsidP="00A24F29">
      <w:pPr>
        <w:ind w:left="720"/>
        <w:rPr>
          <w:rFonts w:cstheme="minorHAnsi"/>
          <w:b/>
          <w:bCs/>
          <w:color w:val="000000" w:themeColor="text1"/>
          <w:sz w:val="18"/>
          <w:szCs w:val="18"/>
        </w:rPr>
      </w:pPr>
    </w:p>
    <w:p w14:paraId="28D0EE4C" w14:textId="77777777" w:rsidR="00BC2D4D" w:rsidRDefault="00BC2D4D" w:rsidP="00A24F29">
      <w:pPr>
        <w:ind w:left="720"/>
        <w:rPr>
          <w:rFonts w:cstheme="minorHAnsi"/>
          <w:b/>
          <w:bCs/>
          <w:color w:val="000000" w:themeColor="text1"/>
          <w:sz w:val="18"/>
          <w:szCs w:val="18"/>
        </w:rPr>
      </w:pPr>
    </w:p>
    <w:p w14:paraId="3745E841" w14:textId="360770AE" w:rsidR="00D628F7" w:rsidRPr="00BC3FB3" w:rsidRDefault="00D628F7" w:rsidP="00D628F7">
      <w:pPr>
        <w:rPr>
          <w:rFonts w:cstheme="minorHAnsi"/>
          <w:b/>
          <w:bCs/>
          <w:color w:val="548DD4" w:themeColor="text2" w:themeTint="99"/>
          <w:sz w:val="18"/>
          <w:szCs w:val="18"/>
          <w:u w:val="single"/>
        </w:rPr>
      </w:pPr>
      <w:r w:rsidRPr="00BC3FB3">
        <w:rPr>
          <w:rFonts w:cstheme="minorHAnsi"/>
          <w:b/>
          <w:bCs/>
          <w:color w:val="548DD4" w:themeColor="text2" w:themeTint="99"/>
          <w:sz w:val="18"/>
          <w:szCs w:val="18"/>
          <w:u w:val="single"/>
        </w:rPr>
        <w:lastRenderedPageBreak/>
        <w:t xml:space="preserve">Lot </w:t>
      </w:r>
      <w:r>
        <w:rPr>
          <w:rFonts w:cstheme="minorHAnsi"/>
          <w:b/>
          <w:bCs/>
          <w:color w:val="548DD4" w:themeColor="text2" w:themeTint="99"/>
          <w:sz w:val="18"/>
          <w:szCs w:val="18"/>
          <w:u w:val="single"/>
        </w:rPr>
        <w:t>2</w:t>
      </w:r>
      <w:r w:rsidR="00BC2D4D">
        <w:rPr>
          <w:rFonts w:cstheme="minorHAnsi"/>
          <w:b/>
          <w:bCs/>
          <w:color w:val="548DD4" w:themeColor="text2" w:themeTint="99"/>
          <w:sz w:val="18"/>
          <w:szCs w:val="18"/>
          <w:u w:val="single"/>
        </w:rPr>
        <w:t>:</w:t>
      </w:r>
      <w:r w:rsidRPr="00BC3FB3">
        <w:rPr>
          <w:rFonts w:cstheme="minorHAnsi"/>
          <w:b/>
          <w:bCs/>
          <w:color w:val="548DD4" w:themeColor="text2" w:themeTint="99"/>
          <w:sz w:val="18"/>
          <w:szCs w:val="18"/>
          <w:u w:val="single"/>
        </w:rPr>
        <w:t xml:space="preserve"> </w:t>
      </w:r>
      <w:r>
        <w:rPr>
          <w:rFonts w:cstheme="minorHAnsi"/>
          <w:b/>
          <w:bCs/>
          <w:color w:val="548DD4" w:themeColor="text2" w:themeTint="99"/>
          <w:sz w:val="18"/>
          <w:szCs w:val="18"/>
          <w:u w:val="single"/>
        </w:rPr>
        <w:t>LICENSE BREAKDOWN</w:t>
      </w:r>
    </w:p>
    <w:tbl>
      <w:tblPr>
        <w:tblW w:w="15677" w:type="dxa"/>
        <w:tblInd w:w="-905" w:type="dxa"/>
        <w:tblLook w:val="04A0" w:firstRow="1" w:lastRow="0" w:firstColumn="1" w:lastColumn="0" w:noHBand="0" w:noVBand="1"/>
      </w:tblPr>
      <w:tblGrid>
        <w:gridCol w:w="900"/>
        <w:gridCol w:w="3420"/>
        <w:gridCol w:w="1530"/>
        <w:gridCol w:w="1051"/>
        <w:gridCol w:w="3359"/>
        <w:gridCol w:w="1440"/>
        <w:gridCol w:w="3977"/>
      </w:tblGrid>
      <w:tr w:rsidR="00D628F7" w:rsidRPr="00332521" w14:paraId="478BDEA3" w14:textId="77777777" w:rsidTr="00D628F7">
        <w:trPr>
          <w:trHeight w:val="50"/>
        </w:trPr>
        <w:tc>
          <w:tcPr>
            <w:tcW w:w="15677" w:type="dxa"/>
            <w:gridSpan w:val="7"/>
            <w:tcBorders>
              <w:top w:val="single" w:sz="4" w:space="0" w:color="auto"/>
              <w:left w:val="single" w:sz="4" w:space="0" w:color="auto"/>
              <w:bottom w:val="single" w:sz="4" w:space="0" w:color="auto"/>
              <w:right w:val="single" w:sz="4" w:space="0" w:color="auto"/>
            </w:tcBorders>
            <w:noWrap/>
            <w:vAlign w:val="center"/>
            <w:hideMark/>
          </w:tcPr>
          <w:p w14:paraId="314F3AB4" w14:textId="118F8774" w:rsidR="00D628F7" w:rsidRPr="00332521" w:rsidRDefault="00D628F7" w:rsidP="00D628F7">
            <w:pPr>
              <w:spacing w:after="0" w:line="240" w:lineRule="auto"/>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License Breakdown by type and Quantity  </w:t>
            </w:r>
          </w:p>
        </w:tc>
      </w:tr>
      <w:tr w:rsidR="00332521" w:rsidRPr="00332521" w14:paraId="6D03B852" w14:textId="77777777" w:rsidTr="00D628F7">
        <w:trPr>
          <w:trHeight w:val="1560"/>
        </w:trPr>
        <w:tc>
          <w:tcPr>
            <w:tcW w:w="900" w:type="dxa"/>
            <w:tcBorders>
              <w:top w:val="nil"/>
              <w:left w:val="single" w:sz="4" w:space="0" w:color="auto"/>
              <w:bottom w:val="single" w:sz="4" w:space="0" w:color="auto"/>
              <w:right w:val="single" w:sz="4" w:space="0" w:color="auto"/>
            </w:tcBorders>
            <w:shd w:val="clear" w:color="000000" w:fill="DBE5F1"/>
            <w:vAlign w:val="center"/>
            <w:hideMark/>
          </w:tcPr>
          <w:p w14:paraId="5BE8E57C"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xml:space="preserve">Item number </w:t>
            </w:r>
          </w:p>
        </w:tc>
        <w:tc>
          <w:tcPr>
            <w:tcW w:w="3420" w:type="dxa"/>
            <w:tcBorders>
              <w:top w:val="nil"/>
              <w:left w:val="nil"/>
              <w:bottom w:val="single" w:sz="4" w:space="0" w:color="auto"/>
              <w:right w:val="single" w:sz="4" w:space="0" w:color="auto"/>
            </w:tcBorders>
            <w:shd w:val="clear" w:color="000000" w:fill="DBE5F1"/>
            <w:vAlign w:val="center"/>
            <w:hideMark/>
          </w:tcPr>
          <w:p w14:paraId="10B8B0D3"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Item/Milestone Required</w:t>
            </w:r>
          </w:p>
        </w:tc>
        <w:tc>
          <w:tcPr>
            <w:tcW w:w="1530" w:type="dxa"/>
            <w:tcBorders>
              <w:top w:val="nil"/>
              <w:left w:val="nil"/>
              <w:bottom w:val="single" w:sz="4" w:space="0" w:color="auto"/>
              <w:right w:val="single" w:sz="4" w:space="0" w:color="auto"/>
            </w:tcBorders>
            <w:shd w:val="clear" w:color="000000" w:fill="DBE5F1"/>
            <w:vAlign w:val="center"/>
            <w:hideMark/>
          </w:tcPr>
          <w:p w14:paraId="18643BE9"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Required UOM</w:t>
            </w:r>
          </w:p>
        </w:tc>
        <w:tc>
          <w:tcPr>
            <w:tcW w:w="1051" w:type="dxa"/>
            <w:tcBorders>
              <w:top w:val="nil"/>
              <w:left w:val="nil"/>
              <w:bottom w:val="single" w:sz="4" w:space="0" w:color="auto"/>
              <w:right w:val="single" w:sz="4" w:space="0" w:color="auto"/>
            </w:tcBorders>
            <w:shd w:val="clear" w:color="000000" w:fill="DBE5F1"/>
            <w:vAlign w:val="center"/>
            <w:hideMark/>
          </w:tcPr>
          <w:p w14:paraId="585B286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Estimated Qty</w:t>
            </w:r>
          </w:p>
        </w:tc>
        <w:tc>
          <w:tcPr>
            <w:tcW w:w="3359" w:type="dxa"/>
            <w:tcBorders>
              <w:top w:val="nil"/>
              <w:left w:val="nil"/>
              <w:bottom w:val="single" w:sz="4" w:space="0" w:color="auto"/>
              <w:right w:val="single" w:sz="4" w:space="0" w:color="auto"/>
            </w:tcBorders>
            <w:shd w:val="clear" w:color="000000" w:fill="DBE5F1"/>
            <w:vAlign w:val="center"/>
            <w:hideMark/>
          </w:tcPr>
          <w:p w14:paraId="3C2980DC"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Total Price in USD, Exclusive VAT rated at 11%, but inclusive Labor, Installation,  Bank Transfer Fees, and all other fees</w:t>
            </w:r>
          </w:p>
        </w:tc>
        <w:tc>
          <w:tcPr>
            <w:tcW w:w="1440" w:type="dxa"/>
            <w:tcBorders>
              <w:top w:val="nil"/>
              <w:left w:val="nil"/>
              <w:bottom w:val="single" w:sz="4" w:space="0" w:color="auto"/>
              <w:right w:val="single" w:sz="4" w:space="0" w:color="auto"/>
            </w:tcBorders>
            <w:shd w:val="clear" w:color="000000" w:fill="DBE5F1"/>
            <w:vAlign w:val="center"/>
            <w:hideMark/>
          </w:tcPr>
          <w:p w14:paraId="1F414D6B"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VAT (%)</w:t>
            </w:r>
          </w:p>
        </w:tc>
        <w:tc>
          <w:tcPr>
            <w:tcW w:w="3977" w:type="dxa"/>
            <w:tcBorders>
              <w:top w:val="nil"/>
              <w:left w:val="nil"/>
              <w:bottom w:val="single" w:sz="4" w:space="0" w:color="auto"/>
              <w:right w:val="single" w:sz="4" w:space="0" w:color="auto"/>
            </w:tcBorders>
            <w:shd w:val="clear" w:color="000000" w:fill="DBE5F1"/>
            <w:vAlign w:val="center"/>
            <w:hideMark/>
          </w:tcPr>
          <w:p w14:paraId="2743BF04"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Total Price in USD, inclusive VAT,  Labor, Installation,  Bank Transfer Fees, and all other fees</w:t>
            </w:r>
          </w:p>
        </w:tc>
      </w:tr>
      <w:tr w:rsidR="00332521" w:rsidRPr="00332521" w14:paraId="37A592F9" w14:textId="77777777" w:rsidTr="00D628F7">
        <w:trPr>
          <w:trHeight w:val="290"/>
        </w:trPr>
        <w:tc>
          <w:tcPr>
            <w:tcW w:w="900" w:type="dxa"/>
            <w:tcBorders>
              <w:top w:val="nil"/>
              <w:left w:val="single" w:sz="4" w:space="0" w:color="auto"/>
              <w:bottom w:val="single" w:sz="4" w:space="0" w:color="auto"/>
              <w:right w:val="single" w:sz="4" w:space="0" w:color="auto"/>
            </w:tcBorders>
            <w:vAlign w:val="center"/>
            <w:hideMark/>
          </w:tcPr>
          <w:p w14:paraId="42C300A6"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2</w:t>
            </w:r>
          </w:p>
        </w:tc>
        <w:tc>
          <w:tcPr>
            <w:tcW w:w="3420" w:type="dxa"/>
            <w:tcBorders>
              <w:top w:val="nil"/>
              <w:left w:val="nil"/>
              <w:bottom w:val="single" w:sz="4" w:space="0" w:color="auto"/>
              <w:right w:val="single" w:sz="4" w:space="0" w:color="auto"/>
            </w:tcBorders>
            <w:vAlign w:val="center"/>
            <w:hideMark/>
          </w:tcPr>
          <w:p w14:paraId="4DFCB8A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Microsoft Dynamics 365 Licenses</w:t>
            </w:r>
          </w:p>
        </w:tc>
        <w:tc>
          <w:tcPr>
            <w:tcW w:w="1530" w:type="dxa"/>
            <w:tcBorders>
              <w:top w:val="nil"/>
              <w:left w:val="nil"/>
              <w:bottom w:val="single" w:sz="4" w:space="0" w:color="auto"/>
              <w:right w:val="single" w:sz="4" w:space="0" w:color="auto"/>
            </w:tcBorders>
            <w:vAlign w:val="center"/>
            <w:hideMark/>
          </w:tcPr>
          <w:p w14:paraId="734471B2"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Annual</w:t>
            </w:r>
          </w:p>
        </w:tc>
        <w:tc>
          <w:tcPr>
            <w:tcW w:w="1051" w:type="dxa"/>
            <w:tcBorders>
              <w:top w:val="nil"/>
              <w:left w:val="nil"/>
              <w:bottom w:val="single" w:sz="4" w:space="0" w:color="auto"/>
              <w:right w:val="single" w:sz="4" w:space="0" w:color="auto"/>
            </w:tcBorders>
            <w:vAlign w:val="center"/>
            <w:hideMark/>
          </w:tcPr>
          <w:p w14:paraId="23CABF1D"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1</w:t>
            </w:r>
          </w:p>
        </w:tc>
        <w:tc>
          <w:tcPr>
            <w:tcW w:w="3359" w:type="dxa"/>
            <w:tcBorders>
              <w:top w:val="nil"/>
              <w:left w:val="nil"/>
              <w:bottom w:val="single" w:sz="4" w:space="0" w:color="auto"/>
              <w:right w:val="single" w:sz="4" w:space="0" w:color="auto"/>
            </w:tcBorders>
            <w:vAlign w:val="center"/>
            <w:hideMark/>
          </w:tcPr>
          <w:p w14:paraId="34128258"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440" w:type="dxa"/>
            <w:tcBorders>
              <w:top w:val="nil"/>
              <w:left w:val="nil"/>
              <w:bottom w:val="single" w:sz="4" w:space="0" w:color="auto"/>
              <w:right w:val="single" w:sz="4" w:space="0" w:color="auto"/>
            </w:tcBorders>
            <w:vAlign w:val="center"/>
            <w:hideMark/>
          </w:tcPr>
          <w:p w14:paraId="451F366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977" w:type="dxa"/>
            <w:tcBorders>
              <w:top w:val="nil"/>
              <w:left w:val="nil"/>
              <w:bottom w:val="single" w:sz="4" w:space="0" w:color="auto"/>
              <w:right w:val="single" w:sz="4" w:space="0" w:color="auto"/>
            </w:tcBorders>
            <w:noWrap/>
            <w:vAlign w:val="center"/>
            <w:hideMark/>
          </w:tcPr>
          <w:p w14:paraId="5976A50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r>
      <w:tr w:rsidR="00332521" w:rsidRPr="00332521" w14:paraId="251AC588" w14:textId="77777777" w:rsidTr="00D628F7">
        <w:trPr>
          <w:trHeight w:val="290"/>
        </w:trPr>
        <w:tc>
          <w:tcPr>
            <w:tcW w:w="900" w:type="dxa"/>
            <w:tcBorders>
              <w:top w:val="nil"/>
              <w:left w:val="single" w:sz="4" w:space="0" w:color="auto"/>
              <w:bottom w:val="single" w:sz="4" w:space="0" w:color="auto"/>
              <w:right w:val="single" w:sz="4" w:space="0" w:color="auto"/>
            </w:tcBorders>
            <w:noWrap/>
            <w:vAlign w:val="center"/>
            <w:hideMark/>
          </w:tcPr>
          <w:p w14:paraId="66043259"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2.1</w:t>
            </w:r>
          </w:p>
        </w:tc>
        <w:tc>
          <w:tcPr>
            <w:tcW w:w="3420" w:type="dxa"/>
            <w:tcBorders>
              <w:top w:val="nil"/>
              <w:left w:val="nil"/>
              <w:bottom w:val="single" w:sz="4" w:space="0" w:color="auto"/>
              <w:right w:val="single" w:sz="4" w:space="0" w:color="auto"/>
            </w:tcBorders>
            <w:noWrap/>
            <w:vAlign w:val="center"/>
            <w:hideMark/>
          </w:tcPr>
          <w:p w14:paraId="4A0C5CA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530" w:type="dxa"/>
            <w:tcBorders>
              <w:top w:val="nil"/>
              <w:left w:val="nil"/>
              <w:bottom w:val="single" w:sz="4" w:space="0" w:color="auto"/>
              <w:right w:val="single" w:sz="4" w:space="0" w:color="auto"/>
            </w:tcBorders>
            <w:noWrap/>
            <w:vAlign w:val="center"/>
            <w:hideMark/>
          </w:tcPr>
          <w:p w14:paraId="574AF763"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051" w:type="dxa"/>
            <w:tcBorders>
              <w:top w:val="nil"/>
              <w:left w:val="nil"/>
              <w:bottom w:val="single" w:sz="4" w:space="0" w:color="auto"/>
              <w:right w:val="single" w:sz="4" w:space="0" w:color="auto"/>
            </w:tcBorders>
            <w:noWrap/>
            <w:vAlign w:val="center"/>
            <w:hideMark/>
          </w:tcPr>
          <w:p w14:paraId="72017BCF"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359" w:type="dxa"/>
            <w:tcBorders>
              <w:top w:val="nil"/>
              <w:left w:val="nil"/>
              <w:bottom w:val="single" w:sz="4" w:space="0" w:color="auto"/>
              <w:right w:val="single" w:sz="4" w:space="0" w:color="auto"/>
            </w:tcBorders>
            <w:noWrap/>
            <w:vAlign w:val="center"/>
            <w:hideMark/>
          </w:tcPr>
          <w:p w14:paraId="3DF7B527"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440" w:type="dxa"/>
            <w:tcBorders>
              <w:top w:val="nil"/>
              <w:left w:val="nil"/>
              <w:bottom w:val="single" w:sz="4" w:space="0" w:color="auto"/>
              <w:right w:val="single" w:sz="4" w:space="0" w:color="auto"/>
            </w:tcBorders>
            <w:noWrap/>
            <w:vAlign w:val="center"/>
            <w:hideMark/>
          </w:tcPr>
          <w:p w14:paraId="62ED63DF"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977" w:type="dxa"/>
            <w:tcBorders>
              <w:top w:val="nil"/>
              <w:left w:val="nil"/>
              <w:bottom w:val="single" w:sz="4" w:space="0" w:color="auto"/>
              <w:right w:val="single" w:sz="4" w:space="0" w:color="auto"/>
            </w:tcBorders>
            <w:noWrap/>
            <w:vAlign w:val="center"/>
            <w:hideMark/>
          </w:tcPr>
          <w:p w14:paraId="481D3F86"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r>
      <w:tr w:rsidR="00332521" w:rsidRPr="00332521" w14:paraId="796AF558" w14:textId="77777777" w:rsidTr="00D628F7">
        <w:trPr>
          <w:trHeight w:val="290"/>
        </w:trPr>
        <w:tc>
          <w:tcPr>
            <w:tcW w:w="900" w:type="dxa"/>
            <w:tcBorders>
              <w:top w:val="nil"/>
              <w:left w:val="single" w:sz="4" w:space="0" w:color="auto"/>
              <w:bottom w:val="single" w:sz="4" w:space="0" w:color="auto"/>
              <w:right w:val="single" w:sz="4" w:space="0" w:color="auto"/>
            </w:tcBorders>
            <w:noWrap/>
            <w:vAlign w:val="center"/>
            <w:hideMark/>
          </w:tcPr>
          <w:p w14:paraId="0F18C1AF"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2.3</w:t>
            </w:r>
          </w:p>
        </w:tc>
        <w:tc>
          <w:tcPr>
            <w:tcW w:w="3420" w:type="dxa"/>
            <w:tcBorders>
              <w:top w:val="nil"/>
              <w:left w:val="nil"/>
              <w:bottom w:val="single" w:sz="4" w:space="0" w:color="auto"/>
              <w:right w:val="single" w:sz="4" w:space="0" w:color="auto"/>
            </w:tcBorders>
            <w:noWrap/>
            <w:vAlign w:val="center"/>
            <w:hideMark/>
          </w:tcPr>
          <w:p w14:paraId="43CB10CB"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530" w:type="dxa"/>
            <w:tcBorders>
              <w:top w:val="nil"/>
              <w:left w:val="nil"/>
              <w:bottom w:val="single" w:sz="4" w:space="0" w:color="auto"/>
              <w:right w:val="single" w:sz="4" w:space="0" w:color="auto"/>
            </w:tcBorders>
            <w:noWrap/>
            <w:vAlign w:val="center"/>
            <w:hideMark/>
          </w:tcPr>
          <w:p w14:paraId="60501AC1"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051" w:type="dxa"/>
            <w:tcBorders>
              <w:top w:val="nil"/>
              <w:left w:val="nil"/>
              <w:bottom w:val="single" w:sz="4" w:space="0" w:color="auto"/>
              <w:right w:val="single" w:sz="4" w:space="0" w:color="auto"/>
            </w:tcBorders>
            <w:noWrap/>
            <w:vAlign w:val="center"/>
            <w:hideMark/>
          </w:tcPr>
          <w:p w14:paraId="7C1F443D"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359" w:type="dxa"/>
            <w:tcBorders>
              <w:top w:val="nil"/>
              <w:left w:val="nil"/>
              <w:bottom w:val="single" w:sz="4" w:space="0" w:color="auto"/>
              <w:right w:val="single" w:sz="4" w:space="0" w:color="auto"/>
            </w:tcBorders>
            <w:noWrap/>
            <w:vAlign w:val="center"/>
            <w:hideMark/>
          </w:tcPr>
          <w:p w14:paraId="5689C81A"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440" w:type="dxa"/>
            <w:tcBorders>
              <w:top w:val="nil"/>
              <w:left w:val="nil"/>
              <w:bottom w:val="single" w:sz="4" w:space="0" w:color="auto"/>
              <w:right w:val="single" w:sz="4" w:space="0" w:color="auto"/>
            </w:tcBorders>
            <w:noWrap/>
            <w:vAlign w:val="center"/>
            <w:hideMark/>
          </w:tcPr>
          <w:p w14:paraId="7ECE75AB"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977" w:type="dxa"/>
            <w:tcBorders>
              <w:top w:val="nil"/>
              <w:left w:val="nil"/>
              <w:bottom w:val="single" w:sz="4" w:space="0" w:color="auto"/>
              <w:right w:val="single" w:sz="4" w:space="0" w:color="auto"/>
            </w:tcBorders>
            <w:noWrap/>
            <w:vAlign w:val="center"/>
            <w:hideMark/>
          </w:tcPr>
          <w:p w14:paraId="5185145C"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r>
      <w:tr w:rsidR="00332521" w:rsidRPr="00332521" w14:paraId="6855AE99" w14:textId="77777777" w:rsidTr="00D628F7">
        <w:trPr>
          <w:trHeight w:val="290"/>
        </w:trPr>
        <w:tc>
          <w:tcPr>
            <w:tcW w:w="900" w:type="dxa"/>
            <w:tcBorders>
              <w:top w:val="nil"/>
              <w:left w:val="single" w:sz="4" w:space="0" w:color="auto"/>
              <w:bottom w:val="single" w:sz="4" w:space="0" w:color="auto"/>
              <w:right w:val="single" w:sz="4" w:space="0" w:color="auto"/>
            </w:tcBorders>
            <w:noWrap/>
            <w:vAlign w:val="center"/>
            <w:hideMark/>
          </w:tcPr>
          <w:p w14:paraId="17532EB4"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2.4</w:t>
            </w:r>
          </w:p>
        </w:tc>
        <w:tc>
          <w:tcPr>
            <w:tcW w:w="3420" w:type="dxa"/>
            <w:tcBorders>
              <w:top w:val="nil"/>
              <w:left w:val="nil"/>
              <w:bottom w:val="single" w:sz="4" w:space="0" w:color="auto"/>
              <w:right w:val="single" w:sz="4" w:space="0" w:color="auto"/>
            </w:tcBorders>
            <w:noWrap/>
            <w:vAlign w:val="center"/>
            <w:hideMark/>
          </w:tcPr>
          <w:p w14:paraId="6D335B12"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530" w:type="dxa"/>
            <w:tcBorders>
              <w:top w:val="nil"/>
              <w:left w:val="nil"/>
              <w:bottom w:val="single" w:sz="4" w:space="0" w:color="auto"/>
              <w:right w:val="single" w:sz="4" w:space="0" w:color="auto"/>
            </w:tcBorders>
            <w:noWrap/>
            <w:vAlign w:val="center"/>
            <w:hideMark/>
          </w:tcPr>
          <w:p w14:paraId="6639BDC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051" w:type="dxa"/>
            <w:tcBorders>
              <w:top w:val="nil"/>
              <w:left w:val="nil"/>
              <w:bottom w:val="single" w:sz="4" w:space="0" w:color="auto"/>
              <w:right w:val="single" w:sz="4" w:space="0" w:color="auto"/>
            </w:tcBorders>
            <w:noWrap/>
            <w:vAlign w:val="center"/>
            <w:hideMark/>
          </w:tcPr>
          <w:p w14:paraId="50320EB3"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359" w:type="dxa"/>
            <w:tcBorders>
              <w:top w:val="nil"/>
              <w:left w:val="nil"/>
              <w:bottom w:val="single" w:sz="4" w:space="0" w:color="auto"/>
              <w:right w:val="single" w:sz="4" w:space="0" w:color="auto"/>
            </w:tcBorders>
            <w:noWrap/>
            <w:vAlign w:val="center"/>
            <w:hideMark/>
          </w:tcPr>
          <w:p w14:paraId="2B6AC497"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440" w:type="dxa"/>
            <w:tcBorders>
              <w:top w:val="nil"/>
              <w:left w:val="nil"/>
              <w:bottom w:val="single" w:sz="4" w:space="0" w:color="auto"/>
              <w:right w:val="single" w:sz="4" w:space="0" w:color="auto"/>
            </w:tcBorders>
            <w:noWrap/>
            <w:vAlign w:val="center"/>
            <w:hideMark/>
          </w:tcPr>
          <w:p w14:paraId="3A04AD59"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977" w:type="dxa"/>
            <w:tcBorders>
              <w:top w:val="nil"/>
              <w:left w:val="nil"/>
              <w:bottom w:val="single" w:sz="4" w:space="0" w:color="auto"/>
              <w:right w:val="single" w:sz="4" w:space="0" w:color="auto"/>
            </w:tcBorders>
            <w:noWrap/>
            <w:vAlign w:val="center"/>
            <w:hideMark/>
          </w:tcPr>
          <w:p w14:paraId="607AF6AA"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r>
      <w:tr w:rsidR="00332521" w:rsidRPr="00332521" w14:paraId="5075A5BC" w14:textId="77777777" w:rsidTr="00D628F7">
        <w:trPr>
          <w:trHeight w:val="290"/>
        </w:trPr>
        <w:tc>
          <w:tcPr>
            <w:tcW w:w="900" w:type="dxa"/>
            <w:tcBorders>
              <w:top w:val="nil"/>
              <w:left w:val="single" w:sz="4" w:space="0" w:color="auto"/>
              <w:bottom w:val="single" w:sz="4" w:space="0" w:color="auto"/>
              <w:right w:val="single" w:sz="4" w:space="0" w:color="auto"/>
            </w:tcBorders>
            <w:noWrap/>
            <w:vAlign w:val="center"/>
            <w:hideMark/>
          </w:tcPr>
          <w:p w14:paraId="3A18116D"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2.5</w:t>
            </w:r>
          </w:p>
        </w:tc>
        <w:tc>
          <w:tcPr>
            <w:tcW w:w="3420" w:type="dxa"/>
            <w:tcBorders>
              <w:top w:val="nil"/>
              <w:left w:val="nil"/>
              <w:bottom w:val="single" w:sz="4" w:space="0" w:color="auto"/>
              <w:right w:val="single" w:sz="4" w:space="0" w:color="auto"/>
            </w:tcBorders>
            <w:noWrap/>
            <w:vAlign w:val="center"/>
            <w:hideMark/>
          </w:tcPr>
          <w:p w14:paraId="48616760"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530" w:type="dxa"/>
            <w:tcBorders>
              <w:top w:val="nil"/>
              <w:left w:val="nil"/>
              <w:bottom w:val="single" w:sz="4" w:space="0" w:color="auto"/>
              <w:right w:val="single" w:sz="4" w:space="0" w:color="auto"/>
            </w:tcBorders>
            <w:noWrap/>
            <w:vAlign w:val="center"/>
            <w:hideMark/>
          </w:tcPr>
          <w:p w14:paraId="5BC7B37A"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051" w:type="dxa"/>
            <w:tcBorders>
              <w:top w:val="nil"/>
              <w:left w:val="nil"/>
              <w:bottom w:val="single" w:sz="4" w:space="0" w:color="auto"/>
              <w:right w:val="single" w:sz="4" w:space="0" w:color="auto"/>
            </w:tcBorders>
            <w:noWrap/>
            <w:vAlign w:val="center"/>
            <w:hideMark/>
          </w:tcPr>
          <w:p w14:paraId="173D34DA"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359" w:type="dxa"/>
            <w:tcBorders>
              <w:top w:val="nil"/>
              <w:left w:val="nil"/>
              <w:bottom w:val="single" w:sz="4" w:space="0" w:color="auto"/>
              <w:right w:val="single" w:sz="4" w:space="0" w:color="auto"/>
            </w:tcBorders>
            <w:noWrap/>
            <w:vAlign w:val="center"/>
            <w:hideMark/>
          </w:tcPr>
          <w:p w14:paraId="22214765"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1440" w:type="dxa"/>
            <w:tcBorders>
              <w:top w:val="nil"/>
              <w:left w:val="nil"/>
              <w:bottom w:val="single" w:sz="4" w:space="0" w:color="auto"/>
              <w:right w:val="single" w:sz="4" w:space="0" w:color="auto"/>
            </w:tcBorders>
            <w:noWrap/>
            <w:vAlign w:val="center"/>
            <w:hideMark/>
          </w:tcPr>
          <w:p w14:paraId="71BCAA02"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c>
          <w:tcPr>
            <w:tcW w:w="3977" w:type="dxa"/>
            <w:tcBorders>
              <w:top w:val="nil"/>
              <w:left w:val="nil"/>
              <w:bottom w:val="single" w:sz="4" w:space="0" w:color="auto"/>
              <w:right w:val="single" w:sz="4" w:space="0" w:color="auto"/>
            </w:tcBorders>
            <w:noWrap/>
            <w:vAlign w:val="center"/>
            <w:hideMark/>
          </w:tcPr>
          <w:p w14:paraId="6DD2F108" w14:textId="77777777" w:rsidR="00332521" w:rsidRPr="00332521" w:rsidRDefault="00332521" w:rsidP="00332521">
            <w:pPr>
              <w:spacing w:after="0" w:line="240" w:lineRule="auto"/>
              <w:jc w:val="center"/>
              <w:rPr>
                <w:rFonts w:ascii="Calibri" w:eastAsia="Times New Roman" w:hAnsi="Calibri" w:cs="Calibri"/>
                <w:b/>
                <w:bCs/>
                <w:color w:val="000000"/>
                <w:sz w:val="20"/>
                <w:szCs w:val="20"/>
                <w:lang w:val="en-US"/>
              </w:rPr>
            </w:pPr>
            <w:r w:rsidRPr="00332521">
              <w:rPr>
                <w:rFonts w:ascii="Calibri" w:eastAsia="Times New Roman" w:hAnsi="Calibri" w:cs="Calibri"/>
                <w:b/>
                <w:bCs/>
                <w:color w:val="000000"/>
                <w:sz w:val="20"/>
                <w:szCs w:val="20"/>
                <w:lang w:val="en-US"/>
              </w:rPr>
              <w:t> </w:t>
            </w:r>
          </w:p>
        </w:tc>
      </w:tr>
    </w:tbl>
    <w:p w14:paraId="25A21A32" w14:textId="77777777" w:rsidR="008D13C8" w:rsidRDefault="008D13C8" w:rsidP="00B25B2C">
      <w:pPr>
        <w:rPr>
          <w:rFonts w:cstheme="minorHAnsi"/>
          <w:b/>
          <w:bCs/>
          <w:color w:val="0070C0"/>
          <w:u w:val="single"/>
        </w:r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p w14:paraId="08B9ADA1" w14:textId="082B42DE" w:rsidR="007A42C9" w:rsidRDefault="00C307CA" w:rsidP="00C307CA">
      <w:r>
        <w:t>As per Annexed T</w:t>
      </w:r>
      <w:r w:rsidR="0089257A">
        <w:t>erms of Reference</w:t>
      </w:r>
      <w:r>
        <w:t xml:space="preserve"> “</w:t>
      </w:r>
      <w:r w:rsidR="0089257A" w:rsidRPr="006220E5">
        <w:rPr>
          <w:b/>
          <w:bCs/>
        </w:rPr>
        <w:t>Implementation of Microsoft Dynamics 365 Finance &amp; Operations</w:t>
      </w:r>
      <w:r w:rsidR="0089257A">
        <w:rPr>
          <w:b/>
          <w:bCs/>
        </w:rPr>
        <w:t xml:space="preserve"> </w:t>
      </w:r>
      <w:r w:rsidR="00894053">
        <w:rPr>
          <w:b/>
          <w:bCs/>
        </w:rPr>
        <w:t>V.04</w:t>
      </w:r>
      <w:r>
        <w:t>”</w:t>
      </w:r>
    </w:p>
    <w:tbl>
      <w:tblPr>
        <w:tblStyle w:val="GridTable4-Accent1"/>
        <w:tblW w:w="15758" w:type="dxa"/>
        <w:tblInd w:w="-905" w:type="dxa"/>
        <w:tblLook w:val="04A0" w:firstRow="1" w:lastRow="0" w:firstColumn="1" w:lastColumn="0" w:noHBand="0" w:noVBand="1"/>
      </w:tblPr>
      <w:tblGrid>
        <w:gridCol w:w="452"/>
        <w:gridCol w:w="3351"/>
        <w:gridCol w:w="7132"/>
        <w:gridCol w:w="1291"/>
        <w:gridCol w:w="3532"/>
      </w:tblGrid>
      <w:tr w:rsidR="00D628F7" w:rsidRPr="00D628F7" w14:paraId="657C4C05" w14:textId="77777777" w:rsidTr="00D628F7">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52" w:type="dxa"/>
            <w:hideMark/>
          </w:tcPr>
          <w:p w14:paraId="72C997BF" w14:textId="77777777" w:rsidR="00D628F7" w:rsidRPr="00D628F7" w:rsidRDefault="00D628F7" w:rsidP="00E5149B">
            <w:pPr>
              <w:rPr>
                <w:rFonts w:cstheme="minorHAnsi"/>
                <w:b w:val="0"/>
                <w:color w:val="FFFFFF"/>
              </w:rPr>
            </w:pPr>
            <w:r w:rsidRPr="00D628F7">
              <w:rPr>
                <w:rFonts w:cstheme="minorHAnsi"/>
                <w:b w:val="0"/>
                <w:color w:val="FFFFFF"/>
              </w:rPr>
              <w:t>#</w:t>
            </w:r>
          </w:p>
        </w:tc>
        <w:tc>
          <w:tcPr>
            <w:tcW w:w="3351" w:type="dxa"/>
            <w:hideMark/>
          </w:tcPr>
          <w:p w14:paraId="3ACF65D6" w14:textId="77777777" w:rsidR="00D628F7" w:rsidRPr="00D628F7" w:rsidRDefault="00D628F7" w:rsidP="00E5149B">
            <w:pPr>
              <w:cnfStyle w:val="100000000000" w:firstRow="1" w:lastRow="0" w:firstColumn="0" w:lastColumn="0" w:oddVBand="0" w:evenVBand="0" w:oddHBand="0" w:evenHBand="0" w:firstRowFirstColumn="0" w:firstRowLastColumn="0" w:lastRowFirstColumn="0" w:lastRowLastColumn="0"/>
              <w:rPr>
                <w:rFonts w:cstheme="minorHAnsi"/>
                <w:b w:val="0"/>
                <w:color w:val="FFFFFF"/>
              </w:rPr>
            </w:pPr>
            <w:r w:rsidRPr="00D628F7">
              <w:rPr>
                <w:rFonts w:cstheme="minorHAnsi"/>
                <w:b w:val="0"/>
                <w:color w:val="FFFFFF"/>
              </w:rPr>
              <w:t>Cost Category</w:t>
            </w:r>
          </w:p>
        </w:tc>
        <w:tc>
          <w:tcPr>
            <w:tcW w:w="7132" w:type="dxa"/>
            <w:hideMark/>
          </w:tcPr>
          <w:p w14:paraId="41828880" w14:textId="77777777" w:rsidR="00D628F7" w:rsidRPr="00D628F7" w:rsidRDefault="00D628F7" w:rsidP="00E5149B">
            <w:pPr>
              <w:cnfStyle w:val="100000000000" w:firstRow="1" w:lastRow="0" w:firstColumn="0" w:lastColumn="0" w:oddVBand="0" w:evenVBand="0" w:oddHBand="0" w:evenHBand="0" w:firstRowFirstColumn="0" w:firstRowLastColumn="0" w:lastRowFirstColumn="0" w:lastRowLastColumn="0"/>
              <w:rPr>
                <w:rFonts w:cstheme="minorHAnsi"/>
                <w:b w:val="0"/>
                <w:color w:val="FFFFFF"/>
              </w:rPr>
            </w:pPr>
            <w:r w:rsidRPr="00D628F7">
              <w:rPr>
                <w:rFonts w:cstheme="minorHAnsi"/>
                <w:b w:val="0"/>
                <w:color w:val="FFFFFF"/>
              </w:rPr>
              <w:t>Description</w:t>
            </w:r>
          </w:p>
        </w:tc>
        <w:tc>
          <w:tcPr>
            <w:tcW w:w="1291" w:type="dxa"/>
            <w:hideMark/>
          </w:tcPr>
          <w:p w14:paraId="47BB7476" w14:textId="77777777" w:rsidR="00D628F7" w:rsidRPr="00D628F7" w:rsidRDefault="00D628F7" w:rsidP="00E5149B">
            <w:pPr>
              <w:cnfStyle w:val="100000000000" w:firstRow="1" w:lastRow="0" w:firstColumn="0" w:lastColumn="0" w:oddVBand="0" w:evenVBand="0" w:oddHBand="0" w:evenHBand="0" w:firstRowFirstColumn="0" w:firstRowLastColumn="0" w:lastRowFirstColumn="0" w:lastRowLastColumn="0"/>
              <w:rPr>
                <w:rFonts w:cstheme="minorHAnsi"/>
                <w:b w:val="0"/>
                <w:color w:val="FFFFFF"/>
              </w:rPr>
            </w:pPr>
            <w:r w:rsidRPr="00D628F7">
              <w:rPr>
                <w:rFonts w:cstheme="minorHAnsi"/>
                <w:b w:val="0"/>
                <w:color w:val="FFFFFF"/>
              </w:rPr>
              <w:t>Unit</w:t>
            </w:r>
          </w:p>
        </w:tc>
        <w:tc>
          <w:tcPr>
            <w:tcW w:w="3532" w:type="dxa"/>
            <w:hideMark/>
          </w:tcPr>
          <w:p w14:paraId="0DB4A074" w14:textId="77777777" w:rsidR="00D628F7" w:rsidRPr="00D628F7" w:rsidRDefault="00D628F7" w:rsidP="00E5149B">
            <w:pPr>
              <w:cnfStyle w:val="100000000000" w:firstRow="1" w:lastRow="0" w:firstColumn="0" w:lastColumn="0" w:oddVBand="0" w:evenVBand="0" w:oddHBand="0" w:evenHBand="0" w:firstRowFirstColumn="0" w:firstRowLastColumn="0" w:lastRowFirstColumn="0" w:lastRowLastColumn="0"/>
              <w:rPr>
                <w:rFonts w:cstheme="minorHAnsi"/>
                <w:b w:val="0"/>
                <w:color w:val="FFFFFF"/>
              </w:rPr>
            </w:pPr>
            <w:r w:rsidRPr="00D628F7">
              <w:rPr>
                <w:rFonts w:cstheme="minorHAnsi"/>
                <w:b w:val="0"/>
                <w:color w:val="FFFFFF"/>
              </w:rPr>
              <w:t>Remarks</w:t>
            </w:r>
          </w:p>
        </w:tc>
      </w:tr>
      <w:tr w:rsidR="00D628F7" w:rsidRPr="00D628F7" w14:paraId="48D43258" w14:textId="77777777" w:rsidTr="00D628F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52" w:type="dxa"/>
            <w:hideMark/>
          </w:tcPr>
          <w:p w14:paraId="6C7D3966"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t>1</w:t>
            </w:r>
          </w:p>
        </w:tc>
        <w:tc>
          <w:tcPr>
            <w:tcW w:w="3351" w:type="dxa"/>
            <w:hideMark/>
          </w:tcPr>
          <w:p w14:paraId="1B0FF93D"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Implementation and Configuration</w:t>
            </w:r>
          </w:p>
        </w:tc>
        <w:tc>
          <w:tcPr>
            <w:tcW w:w="7132" w:type="dxa"/>
            <w:hideMark/>
          </w:tcPr>
          <w:p w14:paraId="4ED96450"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Project initiation, requirements validation, solution design, environment setup, configuration, security roles, workflows, testing support, deployment, and handover documentation</w:t>
            </w:r>
          </w:p>
        </w:tc>
        <w:tc>
          <w:tcPr>
            <w:tcW w:w="1291" w:type="dxa"/>
            <w:hideMark/>
          </w:tcPr>
          <w:p w14:paraId="04EA3206"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Lump Sum</w:t>
            </w:r>
          </w:p>
        </w:tc>
        <w:tc>
          <w:tcPr>
            <w:tcW w:w="3532" w:type="dxa"/>
            <w:hideMark/>
          </w:tcPr>
          <w:p w14:paraId="49FB4D60"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D628F7" w:rsidRPr="00D628F7" w14:paraId="5CBE66FB" w14:textId="77777777" w:rsidTr="00D628F7">
        <w:trPr>
          <w:trHeight w:val="511"/>
        </w:trPr>
        <w:tc>
          <w:tcPr>
            <w:cnfStyle w:val="001000000000" w:firstRow="0" w:lastRow="0" w:firstColumn="1" w:lastColumn="0" w:oddVBand="0" w:evenVBand="0" w:oddHBand="0" w:evenHBand="0" w:firstRowFirstColumn="0" w:firstRowLastColumn="0" w:lastRowFirstColumn="0" w:lastRowLastColumn="0"/>
            <w:tcW w:w="452" w:type="dxa"/>
            <w:hideMark/>
          </w:tcPr>
          <w:p w14:paraId="0F9C24FA"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t>2</w:t>
            </w:r>
          </w:p>
        </w:tc>
        <w:tc>
          <w:tcPr>
            <w:tcW w:w="3351" w:type="dxa"/>
            <w:hideMark/>
          </w:tcPr>
          <w:p w14:paraId="7443377A"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Microsoft Dynamics 365 Licenses</w:t>
            </w:r>
          </w:p>
        </w:tc>
        <w:tc>
          <w:tcPr>
            <w:tcW w:w="7132" w:type="dxa"/>
            <w:hideMark/>
          </w:tcPr>
          <w:p w14:paraId="51B4270D"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License cost by type and quantity, including full users, team members, Power Platform, Power BI, Dataverse, sandbox, or any required Microsoft licenses</w:t>
            </w:r>
          </w:p>
        </w:tc>
        <w:tc>
          <w:tcPr>
            <w:tcW w:w="1291" w:type="dxa"/>
            <w:hideMark/>
          </w:tcPr>
          <w:p w14:paraId="074AEE93"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Annual</w:t>
            </w:r>
          </w:p>
        </w:tc>
        <w:tc>
          <w:tcPr>
            <w:tcW w:w="3532" w:type="dxa"/>
            <w:hideMark/>
          </w:tcPr>
          <w:p w14:paraId="4BF6F915"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Bidder to attach license breakdown by type and quantity</w:t>
            </w:r>
          </w:p>
        </w:tc>
      </w:tr>
      <w:tr w:rsidR="00D628F7" w:rsidRPr="00D628F7" w14:paraId="587DB048" w14:textId="77777777" w:rsidTr="00D628F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2" w:type="dxa"/>
            <w:hideMark/>
          </w:tcPr>
          <w:p w14:paraId="0F81888C"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t>3</w:t>
            </w:r>
          </w:p>
        </w:tc>
        <w:tc>
          <w:tcPr>
            <w:tcW w:w="3351" w:type="dxa"/>
            <w:hideMark/>
          </w:tcPr>
          <w:p w14:paraId="776022C5"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Data Migration</w:t>
            </w:r>
          </w:p>
        </w:tc>
        <w:tc>
          <w:tcPr>
            <w:tcW w:w="7132" w:type="dxa"/>
            <w:hideMark/>
          </w:tcPr>
          <w:p w14:paraId="3E22DD72"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Data assessment, mapping, cleansing support, migration templates, test migration, final migration, reconciliation, and cutover support</w:t>
            </w:r>
          </w:p>
        </w:tc>
        <w:tc>
          <w:tcPr>
            <w:tcW w:w="1291" w:type="dxa"/>
            <w:hideMark/>
          </w:tcPr>
          <w:p w14:paraId="5A963E3F"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Lump Sum</w:t>
            </w:r>
          </w:p>
        </w:tc>
        <w:tc>
          <w:tcPr>
            <w:tcW w:w="3532" w:type="dxa"/>
            <w:hideMark/>
          </w:tcPr>
          <w:p w14:paraId="687B2D17"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D628F7" w:rsidRPr="00D628F7" w14:paraId="2A88B2F3" w14:textId="77777777" w:rsidTr="00D628F7">
        <w:trPr>
          <w:trHeight w:val="344"/>
        </w:trPr>
        <w:tc>
          <w:tcPr>
            <w:cnfStyle w:val="001000000000" w:firstRow="0" w:lastRow="0" w:firstColumn="1" w:lastColumn="0" w:oddVBand="0" w:evenVBand="0" w:oddHBand="0" w:evenHBand="0" w:firstRowFirstColumn="0" w:firstRowLastColumn="0" w:lastRowFirstColumn="0" w:lastRowLastColumn="0"/>
            <w:tcW w:w="452" w:type="dxa"/>
            <w:hideMark/>
          </w:tcPr>
          <w:p w14:paraId="68E0ADB2"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t>4</w:t>
            </w:r>
          </w:p>
        </w:tc>
        <w:tc>
          <w:tcPr>
            <w:tcW w:w="3351" w:type="dxa"/>
            <w:hideMark/>
          </w:tcPr>
          <w:p w14:paraId="0E7462F4"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Integration</w:t>
            </w:r>
          </w:p>
        </w:tc>
        <w:tc>
          <w:tcPr>
            <w:tcW w:w="7132" w:type="dxa"/>
            <w:hideMark/>
          </w:tcPr>
          <w:p w14:paraId="2204E397"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Integration with required systems, including Microsoft 365 / Entra ID, or other approved systems</w:t>
            </w:r>
          </w:p>
        </w:tc>
        <w:tc>
          <w:tcPr>
            <w:tcW w:w="1291" w:type="dxa"/>
            <w:hideMark/>
          </w:tcPr>
          <w:p w14:paraId="309BCD21"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Lump Sum</w:t>
            </w:r>
          </w:p>
        </w:tc>
        <w:tc>
          <w:tcPr>
            <w:tcW w:w="3532" w:type="dxa"/>
          </w:tcPr>
          <w:p w14:paraId="62492120"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r w:rsidR="00D628F7" w:rsidRPr="00D628F7" w14:paraId="4B44B4A8" w14:textId="77777777" w:rsidTr="00D628F7">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52" w:type="dxa"/>
            <w:hideMark/>
          </w:tcPr>
          <w:p w14:paraId="5945E473"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lastRenderedPageBreak/>
              <w:t>5</w:t>
            </w:r>
          </w:p>
        </w:tc>
        <w:tc>
          <w:tcPr>
            <w:tcW w:w="3351" w:type="dxa"/>
            <w:hideMark/>
          </w:tcPr>
          <w:p w14:paraId="6959F740"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Reporting and Dashboards</w:t>
            </w:r>
          </w:p>
        </w:tc>
        <w:tc>
          <w:tcPr>
            <w:tcW w:w="7132" w:type="dxa"/>
            <w:hideMark/>
          </w:tcPr>
          <w:p w14:paraId="3B6F4C89"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Standard reports, management dashboards, Power BI model/dataset configuration, role-based access, testing, and documentation</w:t>
            </w:r>
          </w:p>
        </w:tc>
        <w:tc>
          <w:tcPr>
            <w:tcW w:w="1291" w:type="dxa"/>
            <w:hideMark/>
          </w:tcPr>
          <w:p w14:paraId="37D7E808"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Lump Sum</w:t>
            </w:r>
          </w:p>
        </w:tc>
        <w:tc>
          <w:tcPr>
            <w:tcW w:w="3532" w:type="dxa"/>
          </w:tcPr>
          <w:p w14:paraId="4D40D553"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D628F7" w:rsidRPr="00D628F7" w14:paraId="2F9E6A16" w14:textId="77777777" w:rsidTr="00D628F7">
        <w:trPr>
          <w:trHeight w:val="344"/>
        </w:trPr>
        <w:tc>
          <w:tcPr>
            <w:cnfStyle w:val="001000000000" w:firstRow="0" w:lastRow="0" w:firstColumn="1" w:lastColumn="0" w:oddVBand="0" w:evenVBand="0" w:oddHBand="0" w:evenHBand="0" w:firstRowFirstColumn="0" w:firstRowLastColumn="0" w:lastRowFirstColumn="0" w:lastRowLastColumn="0"/>
            <w:tcW w:w="452" w:type="dxa"/>
            <w:hideMark/>
          </w:tcPr>
          <w:p w14:paraId="25D37344"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t>6</w:t>
            </w:r>
          </w:p>
        </w:tc>
        <w:tc>
          <w:tcPr>
            <w:tcW w:w="3351" w:type="dxa"/>
            <w:hideMark/>
          </w:tcPr>
          <w:p w14:paraId="3BF9B033"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 xml:space="preserve">Training </w:t>
            </w:r>
          </w:p>
        </w:tc>
        <w:tc>
          <w:tcPr>
            <w:tcW w:w="7132" w:type="dxa"/>
            <w:hideMark/>
          </w:tcPr>
          <w:p w14:paraId="74E96CB7"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Training plan, administrator training, end-user training, ICT technical handover, user guides, and post-go-live adoption support</w:t>
            </w:r>
          </w:p>
        </w:tc>
        <w:tc>
          <w:tcPr>
            <w:tcW w:w="1291" w:type="dxa"/>
            <w:hideMark/>
          </w:tcPr>
          <w:p w14:paraId="39FCA0AB"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Lump Sum</w:t>
            </w:r>
          </w:p>
        </w:tc>
        <w:tc>
          <w:tcPr>
            <w:tcW w:w="3532" w:type="dxa"/>
            <w:hideMark/>
          </w:tcPr>
          <w:p w14:paraId="373CB953"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p>
        </w:tc>
      </w:tr>
      <w:tr w:rsidR="00D628F7" w:rsidRPr="00D628F7" w14:paraId="07BB0664" w14:textId="77777777" w:rsidTr="00D628F7">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452" w:type="dxa"/>
            <w:hideMark/>
          </w:tcPr>
          <w:p w14:paraId="6B58AC06"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r w:rsidRPr="00D628F7">
              <w:rPr>
                <w:rFonts w:asciiTheme="minorHAnsi" w:hAnsiTheme="minorHAnsi" w:cstheme="minorHAnsi"/>
                <w:b w:val="0"/>
                <w:sz w:val="22"/>
              </w:rPr>
              <w:t>7</w:t>
            </w:r>
          </w:p>
        </w:tc>
        <w:tc>
          <w:tcPr>
            <w:tcW w:w="3351" w:type="dxa"/>
            <w:hideMark/>
          </w:tcPr>
          <w:p w14:paraId="43CC60CF"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Support and SLA — Year 1</w:t>
            </w:r>
          </w:p>
        </w:tc>
        <w:tc>
          <w:tcPr>
            <w:tcW w:w="7132" w:type="dxa"/>
            <w:hideMark/>
          </w:tcPr>
          <w:p w14:paraId="12AABE24"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Corrective support, SLA coverage, troubleshooting, minor configuration support, escalation, and monthly support reporting</w:t>
            </w:r>
          </w:p>
        </w:tc>
        <w:tc>
          <w:tcPr>
            <w:tcW w:w="1291" w:type="dxa"/>
            <w:hideMark/>
          </w:tcPr>
          <w:p w14:paraId="3B4D35DB"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Year</w:t>
            </w:r>
          </w:p>
        </w:tc>
        <w:tc>
          <w:tcPr>
            <w:tcW w:w="3532" w:type="dxa"/>
          </w:tcPr>
          <w:p w14:paraId="174D3370" w14:textId="77777777" w:rsidR="00D628F7" w:rsidRPr="00D628F7" w:rsidRDefault="00D628F7" w:rsidP="00E5149B">
            <w:pPr>
              <w:pStyle w:val="ListBullet"/>
              <w:numPr>
                <w:ilvl w:val="0"/>
                <w:numId w:val="0"/>
              </w:numPr>
              <w:spacing w:after="20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rPr>
            </w:pPr>
          </w:p>
        </w:tc>
      </w:tr>
      <w:tr w:rsidR="00D628F7" w:rsidRPr="00D628F7" w14:paraId="608928A0" w14:textId="77777777" w:rsidTr="00D628F7">
        <w:trPr>
          <w:trHeight w:val="517"/>
        </w:trPr>
        <w:tc>
          <w:tcPr>
            <w:cnfStyle w:val="001000000000" w:firstRow="0" w:lastRow="0" w:firstColumn="1" w:lastColumn="0" w:oddVBand="0" w:evenVBand="0" w:oddHBand="0" w:evenHBand="0" w:firstRowFirstColumn="0" w:firstRowLastColumn="0" w:lastRowFirstColumn="0" w:lastRowLastColumn="0"/>
            <w:tcW w:w="452" w:type="dxa"/>
          </w:tcPr>
          <w:p w14:paraId="2CF0CE5F" w14:textId="77777777" w:rsidR="00D628F7" w:rsidRPr="00D628F7" w:rsidRDefault="00D628F7" w:rsidP="00E5149B">
            <w:pPr>
              <w:pStyle w:val="ListBullet"/>
              <w:numPr>
                <w:ilvl w:val="0"/>
                <w:numId w:val="0"/>
              </w:numPr>
              <w:spacing w:after="200" w:line="276" w:lineRule="auto"/>
              <w:rPr>
                <w:rFonts w:asciiTheme="minorHAnsi" w:hAnsiTheme="minorHAnsi" w:cstheme="minorHAnsi"/>
                <w:b w:val="0"/>
                <w:sz w:val="22"/>
              </w:rPr>
            </w:pPr>
          </w:p>
        </w:tc>
        <w:tc>
          <w:tcPr>
            <w:tcW w:w="3351" w:type="dxa"/>
          </w:tcPr>
          <w:p w14:paraId="2D29D426"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Development Man-Day</w:t>
            </w:r>
          </w:p>
        </w:tc>
        <w:tc>
          <w:tcPr>
            <w:tcW w:w="7132" w:type="dxa"/>
            <w:hideMark/>
          </w:tcPr>
          <w:p w14:paraId="38BC9424"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Professional development services for approved customizations, enhancements, workflows, reports, integrations, automation, or change requests not covered under the standard implementation scope</w:t>
            </w:r>
          </w:p>
        </w:tc>
        <w:tc>
          <w:tcPr>
            <w:tcW w:w="1291" w:type="dxa"/>
            <w:hideMark/>
          </w:tcPr>
          <w:p w14:paraId="358BF6DB"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Man-Day</w:t>
            </w:r>
          </w:p>
          <w:p w14:paraId="5589F7DD" w14:textId="77777777" w:rsidR="00D628F7" w:rsidRPr="00D628F7" w:rsidRDefault="00D628F7" w:rsidP="00E5149B">
            <w:pPr>
              <w:cnfStyle w:val="000000000000" w:firstRow="0" w:lastRow="0" w:firstColumn="0" w:lastColumn="0" w:oddVBand="0" w:evenVBand="0" w:oddHBand="0" w:evenHBand="0" w:firstRowFirstColumn="0" w:firstRowLastColumn="0" w:lastRowFirstColumn="0" w:lastRowLastColumn="0"/>
              <w:rPr>
                <w:rFonts w:cstheme="minorHAnsi"/>
                <w:bCs/>
              </w:rPr>
            </w:pPr>
          </w:p>
        </w:tc>
        <w:tc>
          <w:tcPr>
            <w:tcW w:w="3532" w:type="dxa"/>
            <w:hideMark/>
          </w:tcPr>
          <w:p w14:paraId="5C87CB25" w14:textId="77777777" w:rsidR="00D628F7" w:rsidRPr="00D628F7" w:rsidRDefault="00D628F7" w:rsidP="00E5149B">
            <w:pPr>
              <w:pStyle w:val="ListBullet"/>
              <w:numPr>
                <w:ilvl w:val="0"/>
                <w:numId w:val="0"/>
              </w:numPr>
              <w:spacing w:after="20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rPr>
            </w:pPr>
            <w:r w:rsidRPr="00D628F7">
              <w:rPr>
                <w:rFonts w:asciiTheme="minorHAnsi" w:hAnsiTheme="minorHAnsi" w:cstheme="minorHAnsi"/>
                <w:bCs/>
                <w:sz w:val="22"/>
              </w:rPr>
              <w:t xml:space="preserve">To be requested if any new change request not covered by this tender </w:t>
            </w:r>
          </w:p>
        </w:tc>
      </w:tr>
    </w:tbl>
    <w:p w14:paraId="48D6C829" w14:textId="77777777" w:rsidR="00D628F7" w:rsidRDefault="00D628F7" w:rsidP="00C307CA"/>
    <w:sectPr w:rsidR="00D628F7" w:rsidSect="00981C82">
      <w:headerReference w:type="default" r:id="rId11"/>
      <w:footerReference w:type="default" r:id="rId12"/>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273D" w14:textId="77777777" w:rsidR="005F007F" w:rsidRDefault="005F007F" w:rsidP="00ED3A74">
      <w:pPr>
        <w:spacing w:after="0" w:line="240" w:lineRule="auto"/>
      </w:pPr>
      <w:r>
        <w:separator/>
      </w:r>
    </w:p>
  </w:endnote>
  <w:endnote w:type="continuationSeparator" w:id="0">
    <w:p w14:paraId="70DFF9EB" w14:textId="77777777" w:rsidR="005F007F" w:rsidRDefault="005F007F" w:rsidP="00ED3A74">
      <w:pPr>
        <w:spacing w:after="0" w:line="240" w:lineRule="auto"/>
      </w:pPr>
      <w:r>
        <w:continuationSeparator/>
      </w:r>
    </w:p>
  </w:endnote>
  <w:endnote w:type="continuationNotice" w:id="1">
    <w:p w14:paraId="64A01F3C" w14:textId="77777777" w:rsidR="005F007F" w:rsidRDefault="005F0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62A" w14:textId="77777777" w:rsidR="005F007F" w:rsidRDefault="005F007F" w:rsidP="00ED3A74">
      <w:pPr>
        <w:spacing w:after="0" w:line="240" w:lineRule="auto"/>
      </w:pPr>
      <w:r>
        <w:separator/>
      </w:r>
    </w:p>
  </w:footnote>
  <w:footnote w:type="continuationSeparator" w:id="0">
    <w:p w14:paraId="55D4CE3F" w14:textId="77777777" w:rsidR="005F007F" w:rsidRDefault="005F007F" w:rsidP="00ED3A74">
      <w:pPr>
        <w:spacing w:after="0" w:line="240" w:lineRule="auto"/>
      </w:pPr>
      <w:r>
        <w:continuationSeparator/>
      </w:r>
    </w:p>
  </w:footnote>
  <w:footnote w:type="continuationNotice" w:id="1">
    <w:p w14:paraId="74BC81FB" w14:textId="77777777" w:rsidR="005F007F" w:rsidRDefault="005F0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38C7976C"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FD6D3F">
      <w:t>4</w:t>
    </w:r>
  </w:p>
  <w:p w14:paraId="16E23559" w14:textId="3DF5092C" w:rsidR="001505A8" w:rsidRDefault="001505A8" w:rsidP="001505A8">
    <w:pPr>
      <w:pStyle w:val="Header"/>
      <w:jc w:val="right"/>
      <w:rPr>
        <w:noProof/>
      </w:rPr>
    </w:pPr>
    <w:r>
      <w:t>Tender reference: 202</w:t>
    </w:r>
    <w:r w:rsidR="00A438D7">
      <w:t>6-</w:t>
    </w:r>
    <w:r w:rsidR="006B6099">
      <w:t>0</w:t>
    </w:r>
    <w:r w:rsidR="00525093">
      <w:t>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0032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F94B00"/>
    <w:multiLevelType w:val="multilevel"/>
    <w:tmpl w:val="F764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4"/>
  </w:num>
  <w:num w:numId="2" w16cid:durableId="257062987">
    <w:abstractNumId w:val="20"/>
  </w:num>
  <w:num w:numId="3" w16cid:durableId="1694841798">
    <w:abstractNumId w:val="12"/>
  </w:num>
  <w:num w:numId="4" w16cid:durableId="534006320">
    <w:abstractNumId w:val="1"/>
  </w:num>
  <w:num w:numId="5" w16cid:durableId="805006742">
    <w:abstractNumId w:val="27"/>
  </w:num>
  <w:num w:numId="6" w16cid:durableId="1426072520">
    <w:abstractNumId w:val="21"/>
  </w:num>
  <w:num w:numId="7" w16cid:durableId="227501363">
    <w:abstractNumId w:val="4"/>
  </w:num>
  <w:num w:numId="8" w16cid:durableId="491944188">
    <w:abstractNumId w:val="10"/>
  </w:num>
  <w:num w:numId="9" w16cid:durableId="433482495">
    <w:abstractNumId w:val="31"/>
  </w:num>
  <w:num w:numId="10" w16cid:durableId="1394549192">
    <w:abstractNumId w:val="3"/>
  </w:num>
  <w:num w:numId="11" w16cid:durableId="880243611">
    <w:abstractNumId w:val="25"/>
  </w:num>
  <w:num w:numId="12" w16cid:durableId="741099906">
    <w:abstractNumId w:val="11"/>
  </w:num>
  <w:num w:numId="13" w16cid:durableId="599679599">
    <w:abstractNumId w:val="6"/>
  </w:num>
  <w:num w:numId="14" w16cid:durableId="1225406338">
    <w:abstractNumId w:val="29"/>
  </w:num>
  <w:num w:numId="15" w16cid:durableId="684288697">
    <w:abstractNumId w:val="26"/>
  </w:num>
  <w:num w:numId="16" w16cid:durableId="1207595752">
    <w:abstractNumId w:val="30"/>
  </w:num>
  <w:num w:numId="17" w16cid:durableId="822283985">
    <w:abstractNumId w:val="23"/>
  </w:num>
  <w:num w:numId="18" w16cid:durableId="185872980">
    <w:abstractNumId w:val="28"/>
  </w:num>
  <w:num w:numId="19" w16cid:durableId="550311536">
    <w:abstractNumId w:val="15"/>
  </w:num>
  <w:num w:numId="20" w16cid:durableId="1633486148">
    <w:abstractNumId w:val="19"/>
  </w:num>
  <w:num w:numId="21" w16cid:durableId="1271820716">
    <w:abstractNumId w:val="16"/>
  </w:num>
  <w:num w:numId="22" w16cid:durableId="1942565444">
    <w:abstractNumId w:val="7"/>
  </w:num>
  <w:num w:numId="23" w16cid:durableId="2012174904">
    <w:abstractNumId w:val="18"/>
  </w:num>
  <w:num w:numId="24" w16cid:durableId="1511484532">
    <w:abstractNumId w:val="2"/>
  </w:num>
  <w:num w:numId="25" w16cid:durableId="1981878871">
    <w:abstractNumId w:val="32"/>
  </w:num>
  <w:num w:numId="26" w16cid:durableId="564341940">
    <w:abstractNumId w:val="5"/>
  </w:num>
  <w:num w:numId="27" w16cid:durableId="2047950661">
    <w:abstractNumId w:val="9"/>
  </w:num>
  <w:num w:numId="28" w16cid:durableId="60636357">
    <w:abstractNumId w:val="8"/>
  </w:num>
  <w:num w:numId="29" w16cid:durableId="1276399991">
    <w:abstractNumId w:val="17"/>
  </w:num>
  <w:num w:numId="30" w16cid:durableId="730077974">
    <w:abstractNumId w:val="24"/>
  </w:num>
  <w:num w:numId="31" w16cid:durableId="1365669277">
    <w:abstractNumId w:val="21"/>
  </w:num>
  <w:num w:numId="32" w16cid:durableId="191459232">
    <w:abstractNumId w:val="13"/>
  </w:num>
  <w:num w:numId="33" w16cid:durableId="1479348569">
    <w:abstractNumId w:val="22"/>
  </w:num>
  <w:num w:numId="34" w16cid:durableId="12942100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3825"/>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0CC6"/>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28AB"/>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3AB"/>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407"/>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2BB"/>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521"/>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3ED6"/>
    <w:rsid w:val="00354F18"/>
    <w:rsid w:val="003555E2"/>
    <w:rsid w:val="00356A1D"/>
    <w:rsid w:val="003577AD"/>
    <w:rsid w:val="00360672"/>
    <w:rsid w:val="00362226"/>
    <w:rsid w:val="00363539"/>
    <w:rsid w:val="00364ACB"/>
    <w:rsid w:val="00364DFC"/>
    <w:rsid w:val="00366DE3"/>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63E"/>
    <w:rsid w:val="003A37F3"/>
    <w:rsid w:val="003A427E"/>
    <w:rsid w:val="003A4970"/>
    <w:rsid w:val="003A5428"/>
    <w:rsid w:val="003A5D12"/>
    <w:rsid w:val="003A6895"/>
    <w:rsid w:val="003B0B56"/>
    <w:rsid w:val="003B0BF0"/>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05AE"/>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3987"/>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040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97E74"/>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3B22"/>
    <w:rsid w:val="004F4778"/>
    <w:rsid w:val="004F53D6"/>
    <w:rsid w:val="004F59D0"/>
    <w:rsid w:val="004F6F60"/>
    <w:rsid w:val="004F771B"/>
    <w:rsid w:val="00500EF8"/>
    <w:rsid w:val="0050103F"/>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093"/>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1C8"/>
    <w:rsid w:val="005A6ABC"/>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07F"/>
    <w:rsid w:val="005F020B"/>
    <w:rsid w:val="005F3968"/>
    <w:rsid w:val="005F3CA1"/>
    <w:rsid w:val="005F3F5E"/>
    <w:rsid w:val="005F7340"/>
    <w:rsid w:val="006012B4"/>
    <w:rsid w:val="00602B9F"/>
    <w:rsid w:val="00603A5E"/>
    <w:rsid w:val="006048EA"/>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20E5"/>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A68"/>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0C8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6F4"/>
    <w:rsid w:val="007528F1"/>
    <w:rsid w:val="00752BF0"/>
    <w:rsid w:val="00753231"/>
    <w:rsid w:val="00754020"/>
    <w:rsid w:val="00754196"/>
    <w:rsid w:val="00754616"/>
    <w:rsid w:val="0075466E"/>
    <w:rsid w:val="0075494F"/>
    <w:rsid w:val="00754C6C"/>
    <w:rsid w:val="00754D32"/>
    <w:rsid w:val="0075542E"/>
    <w:rsid w:val="0076246A"/>
    <w:rsid w:val="00762CE9"/>
    <w:rsid w:val="00762F3C"/>
    <w:rsid w:val="00764CF2"/>
    <w:rsid w:val="00764E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2B3"/>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257A"/>
    <w:rsid w:val="00892A2B"/>
    <w:rsid w:val="00892BF9"/>
    <w:rsid w:val="00892F22"/>
    <w:rsid w:val="00893A18"/>
    <w:rsid w:val="00893C4E"/>
    <w:rsid w:val="00894053"/>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3C8"/>
    <w:rsid w:val="008D16C3"/>
    <w:rsid w:val="008D2BD1"/>
    <w:rsid w:val="008D3993"/>
    <w:rsid w:val="008D4088"/>
    <w:rsid w:val="008D4A54"/>
    <w:rsid w:val="008D4ADA"/>
    <w:rsid w:val="008D7100"/>
    <w:rsid w:val="008D744B"/>
    <w:rsid w:val="008E0200"/>
    <w:rsid w:val="008E29CB"/>
    <w:rsid w:val="008E2B85"/>
    <w:rsid w:val="008E33D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1C82"/>
    <w:rsid w:val="009831A2"/>
    <w:rsid w:val="00983FCC"/>
    <w:rsid w:val="00984BD9"/>
    <w:rsid w:val="0098537C"/>
    <w:rsid w:val="009856E5"/>
    <w:rsid w:val="00987051"/>
    <w:rsid w:val="00987926"/>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4B72"/>
    <w:rsid w:val="00A1508E"/>
    <w:rsid w:val="00A15F53"/>
    <w:rsid w:val="00A1651C"/>
    <w:rsid w:val="00A16D6D"/>
    <w:rsid w:val="00A202A8"/>
    <w:rsid w:val="00A207CB"/>
    <w:rsid w:val="00A21227"/>
    <w:rsid w:val="00A21838"/>
    <w:rsid w:val="00A22488"/>
    <w:rsid w:val="00A2308C"/>
    <w:rsid w:val="00A23689"/>
    <w:rsid w:val="00A242EF"/>
    <w:rsid w:val="00A244F0"/>
    <w:rsid w:val="00A24F29"/>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020C"/>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2D4D"/>
    <w:rsid w:val="00BC3ECA"/>
    <w:rsid w:val="00BC3FB3"/>
    <w:rsid w:val="00BC59E4"/>
    <w:rsid w:val="00BC647A"/>
    <w:rsid w:val="00BC76EB"/>
    <w:rsid w:val="00BD01D6"/>
    <w:rsid w:val="00BD0424"/>
    <w:rsid w:val="00BD0C1F"/>
    <w:rsid w:val="00BD136D"/>
    <w:rsid w:val="00BD3E56"/>
    <w:rsid w:val="00BD603C"/>
    <w:rsid w:val="00BD6524"/>
    <w:rsid w:val="00BD6AB7"/>
    <w:rsid w:val="00BD7A7D"/>
    <w:rsid w:val="00BE114B"/>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09BF"/>
    <w:rsid w:val="00C21479"/>
    <w:rsid w:val="00C22076"/>
    <w:rsid w:val="00C227D6"/>
    <w:rsid w:val="00C232C1"/>
    <w:rsid w:val="00C23894"/>
    <w:rsid w:val="00C26B50"/>
    <w:rsid w:val="00C301AE"/>
    <w:rsid w:val="00C307CA"/>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230C"/>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1C15"/>
    <w:rsid w:val="00D628F7"/>
    <w:rsid w:val="00D63932"/>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33D"/>
    <w:rsid w:val="00E7249D"/>
    <w:rsid w:val="00E72D90"/>
    <w:rsid w:val="00E72DAB"/>
    <w:rsid w:val="00E7331E"/>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A2B"/>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5856"/>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120"/>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6BB"/>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D3F"/>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5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Bullet">
    <w:name w:val="List Bullet"/>
    <w:basedOn w:val="Normal"/>
    <w:uiPriority w:val="99"/>
    <w:unhideWhenUsed/>
    <w:rsid w:val="00332521"/>
    <w:pPr>
      <w:numPr>
        <w:numId w:val="34"/>
      </w:numPr>
      <w:tabs>
        <w:tab w:val="clear" w:pos="360"/>
      </w:tabs>
      <w:ind w:left="0" w:firstLine="0"/>
      <w:contextualSpacing/>
    </w:pPr>
    <w:rPr>
      <w:rFonts w:ascii="Aptos" w:eastAsia="Aptos" w:hAnsi="Aptos"/>
      <w:sz w:val="19"/>
      <w:lang w:val="en-US"/>
    </w:rPr>
  </w:style>
  <w:style w:type="table" w:styleId="GridTable1Light-Accent6">
    <w:name w:val="Grid Table 1 Light Accent 6"/>
    <w:basedOn w:val="TableNormal"/>
    <w:uiPriority w:val="46"/>
    <w:rsid w:val="00D628F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D628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861</TotalTime>
  <Pages>3</Pages>
  <Words>572</Words>
  <Characters>3255</Characters>
  <Application>Microsoft Office Word</Application>
  <DocSecurity>0</DocSecurity>
  <Lines>203</Lines>
  <Paragraphs>106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98</cp:revision>
  <cp:lastPrinted>2025-04-09T08:02:00Z</cp:lastPrinted>
  <dcterms:created xsi:type="dcterms:W3CDTF">2025-05-20T16:45:00Z</dcterms:created>
  <dcterms:modified xsi:type="dcterms:W3CDTF">2026-06-08T08:59:00Z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