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51076C61"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2026-0</w:t>
      </w:r>
      <w:r w:rsidR="001D72FB" w:rsidRPr="007032DA">
        <w:rPr>
          <w:rFonts w:cstheme="minorHAnsi"/>
          <w:b/>
          <w:bCs/>
          <w:color w:val="548DD4" w:themeColor="text2" w:themeTint="99"/>
        </w:rPr>
        <w:t>12 FIRE FIGHTER EQUIPMENT</w:t>
      </w:r>
      <w:r w:rsidR="00513C76">
        <w:rPr>
          <w:rFonts w:cstheme="minorHAnsi"/>
          <w:b/>
          <w:bCs/>
          <w:color w:val="548DD4" w:themeColor="text2" w:themeTint="99"/>
        </w:rPr>
        <w:t xml:space="preserve"> 2</w:t>
      </w:r>
      <w:r w:rsidR="004E21DE" w:rsidRPr="007032DA">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347DBA55" w:rsidR="004410CC" w:rsidRPr="007032DA" w:rsidRDefault="004410CC" w:rsidP="004410CC">
      <w:pPr>
        <w:jc w:val="both"/>
        <w:rPr>
          <w:rFonts w:cstheme="minorHAnsi"/>
          <w:b/>
          <w:bCs/>
          <w:color w:val="548DD4" w:themeColor="text2" w:themeTint="99"/>
        </w:rPr>
      </w:pPr>
      <w:r w:rsidRPr="007032DA">
        <w:rPr>
          <w:rFonts w:cstheme="minorHAnsi"/>
        </w:rPr>
        <w:t>The Lebanese Red Cross (LRC) Headquarters hereby invites eligible and registered suppliers in Lebanon to submit a firm offer for the establishment of a Two-year Framework Agreement with possibility of one year extension for the supply of Fire Fighters Equipment</w:t>
      </w:r>
      <w:r w:rsidR="00513C76">
        <w:rPr>
          <w:rFonts w:cstheme="minorHAnsi"/>
        </w:rPr>
        <w:t xml:space="preserve"> 2</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417E5F3A" w:rsidR="008B09A4" w:rsidRPr="007032DA" w:rsidRDefault="00310AB0" w:rsidP="001505A8">
            <w:pPr>
              <w:spacing w:after="0" w:line="240" w:lineRule="auto"/>
              <w:jc w:val="both"/>
              <w:rPr>
                <w:rFonts w:cstheme="minorHAnsi"/>
              </w:rPr>
            </w:pPr>
            <w:r>
              <w:rPr>
                <w:rFonts w:cstheme="minorHAnsi"/>
              </w:rPr>
              <w:t>June 0</w:t>
            </w:r>
            <w:r w:rsidR="00C75B11">
              <w:rPr>
                <w:rFonts w:cstheme="minorHAnsi"/>
              </w:rPr>
              <w:t>3</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625369E2" w:rsidR="008B09A4" w:rsidRPr="007032DA" w:rsidRDefault="004B6DF3" w:rsidP="001505A8">
            <w:pPr>
              <w:spacing w:after="0" w:line="240" w:lineRule="auto"/>
              <w:jc w:val="both"/>
              <w:rPr>
                <w:rFonts w:cstheme="minorHAnsi"/>
              </w:rPr>
            </w:pPr>
            <w:r>
              <w:rPr>
                <w:rFonts w:cstheme="minorHAnsi"/>
              </w:rPr>
              <w:t>June 23</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1AB30978" w:rsidR="008B09A4" w:rsidRPr="007032DA" w:rsidRDefault="004B6DF3" w:rsidP="004E2CA0">
            <w:pPr>
              <w:spacing w:after="0" w:line="240" w:lineRule="auto"/>
              <w:jc w:val="both"/>
              <w:rPr>
                <w:rFonts w:cstheme="minorHAnsi"/>
                <w:bCs/>
              </w:rPr>
            </w:pPr>
            <w:r>
              <w:rPr>
                <w:rFonts w:cstheme="minorHAnsi"/>
              </w:rPr>
              <w:t>June 15</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2CE7805D"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4B6DF3">
              <w:rPr>
                <w:rFonts w:cstheme="minorHAnsi"/>
                <w:b/>
                <w:bCs/>
              </w:rPr>
              <w:t>49</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4B6DF3">
              <w:rPr>
                <w:rFonts w:cstheme="minorHAnsi"/>
                <w:b/>
              </w:rPr>
              <w:t>June 23</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2A9C282E"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Pr="007032DA">
        <w:rPr>
          <w:rFonts w:cstheme="minorHAnsi"/>
          <w:b/>
          <w:bCs/>
          <w:lang w:val="en-US"/>
        </w:rPr>
        <w:t>hoda.fakih@redcross.org.lb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0BA4B3D5"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w:t>
      </w:r>
      <w:r w:rsidR="004B6DF3">
        <w:rPr>
          <w:rFonts w:cstheme="minorHAnsi"/>
          <w:b/>
          <w:bCs/>
          <w:lang w:val="en-US"/>
        </w:rPr>
        <w:t>49</w:t>
      </w:r>
      <w:r w:rsidR="001D72FB" w:rsidRPr="007032DA">
        <w:rPr>
          <w:rFonts w:cstheme="minorHAnsi"/>
          <w:b/>
          <w:bCs/>
          <w:lang w:val="en-US"/>
        </w:rPr>
        <w:t xml:space="preserve"> Fire Fighter Equipment</w:t>
      </w:r>
      <w:r w:rsidR="004B6DF3">
        <w:rPr>
          <w:rFonts w:cstheme="minorHAnsi"/>
          <w:b/>
          <w:bCs/>
          <w:lang w:val="en-US"/>
        </w:rPr>
        <w:t xml:space="preserve"> 2</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7032DA">
        <w:rPr>
          <w:rFonts w:cstheme="minorHAnsi"/>
          <w:lang w:val="en-US"/>
        </w:rPr>
        <w:t>from Page</w:t>
      </w:r>
      <w:r w:rsidR="00FE246A" w:rsidRPr="007032DA">
        <w:rPr>
          <w:rFonts w:cstheme="minorHAnsi"/>
          <w:lang w:val="en-US"/>
        </w:rPr>
        <w:t xml:space="preserve"> </w:t>
      </w:r>
      <w:r w:rsidRPr="007032DA">
        <w:rPr>
          <w:rFonts w:cstheme="minorHAnsi"/>
          <w:lang w:val="en-US"/>
        </w:rPr>
        <w:t xml:space="preserve">1 to page 9) 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0BA67F60"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r w:rsidR="000D61BB">
        <w:rPr>
          <w:rFonts w:cstheme="minorHAnsi"/>
          <w:b/>
          <w:bCs/>
          <w:lang w:val="en-US"/>
        </w:rPr>
        <w:t xml:space="preserve">ircular </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A317CF2"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47932BC7"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74033F4A"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VAT Payment: In LBP or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1EF124D3"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236994" w:rsidRPr="007032DA">
                <w:rPr>
                  <w:rStyle w:val="Hyperlink"/>
                  <w:rFonts w:cstheme="minorHAnsi"/>
                </w:rPr>
                <w:t>hoda.fakih</w:t>
              </w:r>
              <w:r w:rsidR="00236994"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A27B95">
              <w:rPr>
                <w:rFonts w:cstheme="minorHAnsi"/>
                <w:lang w:val="en-US"/>
              </w:rPr>
              <w:t>49</w:t>
            </w:r>
            <w:r w:rsidRPr="007032DA">
              <w:rPr>
                <w:rFonts w:cstheme="minorHAnsi"/>
                <w:lang w:val="en-US"/>
              </w:rPr>
              <w:t xml:space="preserve">– </w:t>
            </w:r>
            <w:r w:rsidR="00236994" w:rsidRPr="007032DA">
              <w:rPr>
                <w:rFonts w:cstheme="minorHAnsi"/>
              </w:rPr>
              <w:t>Fire Fighter Equipment</w:t>
            </w:r>
            <w:r w:rsidR="00A27B95">
              <w:rPr>
                <w:rFonts w:cstheme="minorHAnsi"/>
              </w:rPr>
              <w:t xml:space="preserve"> 2</w:t>
            </w:r>
            <w:r w:rsidRPr="007032DA">
              <w:rPr>
                <w:rFonts w:cstheme="minorHAnsi"/>
                <w:lang w:val="en-US"/>
              </w:rPr>
              <w:t xml:space="preserve">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231F2D3F"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A27B95">
              <w:rPr>
                <w:rFonts w:cstheme="minorHAnsi"/>
                <w:b/>
                <w:bCs/>
                <w:highlight w:val="yellow"/>
                <w:lang w:val="en-US"/>
              </w:rPr>
              <w:t>049</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A27B95">
              <w:rPr>
                <w:rFonts w:cstheme="minorHAnsi"/>
                <w:b/>
                <w:bCs/>
                <w:highlight w:val="yellow"/>
                <w:lang w:val="en-US"/>
              </w:rPr>
              <w:t>June 23</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15841102" w:rsidR="00ED5D76" w:rsidRPr="00417EC9" w:rsidRDefault="00417EC9" w:rsidP="00417EC9">
            <w:pPr>
              <w:keepNext/>
              <w:keepLines/>
              <w:spacing w:after="0"/>
              <w:rPr>
                <w:rFonts w:cstheme="minorHAnsi"/>
              </w:rPr>
            </w:pPr>
            <w:r w:rsidRPr="00417EC9">
              <w:rPr>
                <w:rFonts w:cstheme="minorHAnsi"/>
                <w:highlight w:val="yellow"/>
              </w:rPr>
              <w:t>Datasheet + Picture for each item must be submitted with the bid and labelled reference to each item number</w:t>
            </w:r>
            <w:r w:rsidRPr="00417EC9">
              <w:rPr>
                <w:rFonts w:cstheme="minorHAnsi"/>
              </w:rPr>
              <w:t xml:space="preserve">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C8184D6"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A27B95">
              <w:rPr>
                <w:rFonts w:cstheme="minorHAnsi"/>
              </w:rPr>
              <w:t>June 0</w:t>
            </w:r>
            <w:r w:rsidR="00C75B11">
              <w:rPr>
                <w:rFonts w:cstheme="minorHAnsi"/>
              </w:rPr>
              <w:t>3</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62AB5055"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8A36A7">
              <w:rPr>
                <w:rFonts w:cstheme="minorHAnsi"/>
              </w:rPr>
              <w:t>June 23</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3EB39B85"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8A36A7">
              <w:rPr>
                <w:rFonts w:cstheme="minorHAnsi"/>
              </w:rPr>
              <w:t>June 15</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250A0D63"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8A36A7">
              <w:rPr>
                <w:rFonts w:cstheme="minorHAnsi"/>
              </w:rPr>
              <w:t xml:space="preserve">49 </w:t>
            </w:r>
            <w:r w:rsidRPr="007032DA">
              <w:rPr>
                <w:rFonts w:cstheme="minorHAnsi"/>
              </w:rPr>
              <w:t xml:space="preserve">Do not open before </w:t>
            </w:r>
            <w:r w:rsidR="008A36A7">
              <w:rPr>
                <w:rFonts w:cstheme="minorHAnsi"/>
              </w:rPr>
              <w:t>June 23</w:t>
            </w:r>
            <w:r w:rsidRPr="007032DA">
              <w:rPr>
                <w:rFonts w:cstheme="minorHAnsi"/>
              </w:rPr>
              <w:t>, 2026.</w:t>
            </w:r>
          </w:p>
        </w:tc>
      </w:tr>
    </w:tbl>
    <w:p w14:paraId="4441FBB5" w14:textId="77777777" w:rsidR="00D87E22" w:rsidRPr="007032DA" w:rsidRDefault="00D87E22"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5F56E231" w14:textId="3BDE41F5" w:rsidR="00145AD0" w:rsidRPr="007032DA" w:rsidRDefault="00BA7123" w:rsidP="00ED5D76">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6E4046CF" w14:textId="77777777" w:rsidR="00ED5D76" w:rsidRPr="007032DA" w:rsidRDefault="00ED5D76" w:rsidP="00ED5D76">
      <w:pPr>
        <w:spacing w:after="0"/>
        <w:jc w:val="both"/>
        <w:rPr>
          <w:rFonts w:cstheme="minorHAnsi"/>
        </w:rPr>
      </w:pP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7777777"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proofErr w:type="gramStart"/>
      <w:r w:rsidRPr="007032DA">
        <w:rPr>
          <w:rFonts w:cstheme="minorHAnsi"/>
        </w:rPr>
        <w:t>supplier</w:t>
      </w:r>
      <w:proofErr w:type="gramEnd"/>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472DFA0" w14:textId="77777777" w:rsidR="00BA7123" w:rsidRPr="007032DA" w:rsidRDefault="00BA7123" w:rsidP="00130EB0">
      <w:pPr>
        <w:pStyle w:val="ListParagraph"/>
        <w:numPr>
          <w:ilvl w:val="1"/>
          <w:numId w:val="2"/>
        </w:numPr>
        <w:spacing w:after="0"/>
        <w:jc w:val="both"/>
        <w:rPr>
          <w:rFonts w:cstheme="minorHAnsi"/>
        </w:rPr>
      </w:pPr>
      <w:r w:rsidRPr="007032DA">
        <w:rPr>
          <w:rFonts w:cstheme="minorHAnsi"/>
        </w:rPr>
        <w:t>Price should be best and final offer</w:t>
      </w:r>
    </w:p>
    <w:p w14:paraId="05F9DF49"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5DF7A50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3812977" w14:textId="4716E48E" w:rsidR="00FB5FFD" w:rsidRPr="007032DA" w:rsidRDefault="00BA7123" w:rsidP="00FB5FFD">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lastRenderedPageBreak/>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68FAA5EF"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lastRenderedPageBreak/>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w:t>
      </w:r>
      <w:r w:rsidR="005C004D" w:rsidRPr="007032DA">
        <w:rPr>
          <w:rFonts w:cstheme="minorHAnsi"/>
          <w:lang w:val="en-US"/>
        </w:rPr>
        <w:lastRenderedPageBreak/>
        <w:t>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1251A8F"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5763A" w:rsidRPr="007032DA">
          <w:rPr>
            <w:rStyle w:val="Hyperlink"/>
            <w:rFonts w:cstheme="minorHAnsi"/>
          </w:rPr>
          <w:t>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5454" w14:textId="77777777" w:rsidR="00F27737" w:rsidRDefault="00F27737" w:rsidP="00ED3A74">
      <w:pPr>
        <w:spacing w:after="0" w:line="240" w:lineRule="auto"/>
      </w:pPr>
      <w:r>
        <w:separator/>
      </w:r>
    </w:p>
  </w:endnote>
  <w:endnote w:type="continuationSeparator" w:id="0">
    <w:p w14:paraId="64A30504" w14:textId="77777777" w:rsidR="00F27737" w:rsidRDefault="00F27737" w:rsidP="00ED3A74">
      <w:pPr>
        <w:spacing w:after="0" w:line="240" w:lineRule="auto"/>
      </w:pPr>
      <w:r>
        <w:continuationSeparator/>
      </w:r>
    </w:p>
  </w:endnote>
  <w:endnote w:type="continuationNotice" w:id="1">
    <w:p w14:paraId="08D9561E" w14:textId="77777777" w:rsidR="00F27737" w:rsidRDefault="00F27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B8FC" w14:textId="77777777" w:rsidR="00F27737" w:rsidRDefault="00F27737" w:rsidP="00ED3A74">
      <w:pPr>
        <w:spacing w:after="0" w:line="240" w:lineRule="auto"/>
      </w:pPr>
      <w:r>
        <w:separator/>
      </w:r>
    </w:p>
  </w:footnote>
  <w:footnote w:type="continuationSeparator" w:id="0">
    <w:p w14:paraId="7581A927" w14:textId="77777777" w:rsidR="00F27737" w:rsidRDefault="00F27737" w:rsidP="00ED3A74">
      <w:pPr>
        <w:spacing w:after="0" w:line="240" w:lineRule="auto"/>
      </w:pPr>
      <w:r>
        <w:continuationSeparator/>
      </w:r>
    </w:p>
  </w:footnote>
  <w:footnote w:type="continuationNotice" w:id="1">
    <w:p w14:paraId="4D435D8A" w14:textId="77777777" w:rsidR="00F27737" w:rsidRDefault="00F27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B40F8CA"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470C2">
      <w:t>3</w:t>
    </w:r>
  </w:p>
  <w:p w14:paraId="16E23559" w14:textId="603E16FD" w:rsidR="001505A8" w:rsidRDefault="001505A8" w:rsidP="001505A8">
    <w:pPr>
      <w:pStyle w:val="Header"/>
      <w:jc w:val="right"/>
      <w:rPr>
        <w:noProof/>
      </w:rPr>
    </w:pPr>
    <w:r>
      <w:t>Tender reference: 202</w:t>
    </w:r>
    <w:r w:rsidR="00A438D7">
      <w:t>6-</w:t>
    </w:r>
    <w:r w:rsidR="008470C2">
      <w:t>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32C8"/>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1BB"/>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49B9"/>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0AB0"/>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DF3"/>
    <w:rsid w:val="004B6FA5"/>
    <w:rsid w:val="004B7752"/>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3C76"/>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70C2"/>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6A7"/>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7B95"/>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6F33"/>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5B11"/>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73A"/>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27737"/>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72</cp:revision>
  <cp:lastPrinted>2025-04-09T08:02:00Z</cp:lastPrinted>
  <dcterms:created xsi:type="dcterms:W3CDTF">2025-05-20T16:45:00Z</dcterms:created>
  <dcterms:modified xsi:type="dcterms:W3CDTF">2026-06-03T12:20:00Z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