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28A6FDE0" w:rsidR="004410CC" w:rsidRPr="005C609A" w:rsidRDefault="00CF01A2" w:rsidP="005C609A">
      <w:pPr>
        <w:spacing w:before="100" w:beforeAutospacing="1" w:after="100" w:afterAutospacing="1"/>
        <w:rPr>
          <w:rFonts w:ascii="Aptos" w:hAnsi="Aptos"/>
          <w:b/>
          <w:bCs/>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5C609A">
        <w:rPr>
          <w:rFonts w:cstheme="minorHAnsi"/>
          <w:b/>
          <w:bCs/>
          <w:color w:val="548DD4" w:themeColor="text2" w:themeTint="99"/>
        </w:rPr>
        <w:t>57</w:t>
      </w:r>
      <w:r w:rsidR="00154002">
        <w:rPr>
          <w:rFonts w:cstheme="minorHAnsi"/>
          <w:b/>
          <w:bCs/>
          <w:color w:val="548DD4" w:themeColor="text2" w:themeTint="99"/>
        </w:rPr>
        <w:t xml:space="preserve"> </w:t>
      </w:r>
      <w:r w:rsidR="005C609A" w:rsidRPr="005C609A">
        <w:rPr>
          <w:rFonts w:cstheme="minorHAnsi"/>
          <w:b/>
          <w:bCs/>
          <w:color w:val="548DD4" w:themeColor="text2" w:themeTint="99"/>
        </w:rPr>
        <w:t>Provision of Gasoline and Diesel Fuel Refill Services for Lebanese Red Cross Vehicles</w:t>
      </w:r>
      <w:r w:rsidR="00C804C9">
        <w:rPr>
          <w:rFonts w:cstheme="minorHAnsi"/>
          <w:b/>
          <w:bCs/>
          <w:color w:val="548DD4" w:themeColor="text2" w:themeTint="99"/>
        </w:rPr>
        <w:t xml:space="preserve"> </w:t>
      </w:r>
    </w:p>
    <w:p w14:paraId="2703D605" w14:textId="419568A5" w:rsidR="00671B11" w:rsidRPr="000E2BA7" w:rsidRDefault="00671B11" w:rsidP="000E2BA7">
      <w:pPr>
        <w:spacing w:before="100" w:beforeAutospacing="1" w:after="100" w:afterAutospacing="1"/>
        <w:rPr>
          <w:rFonts w:ascii="Aptos" w:hAnsi="Aptos"/>
          <w:b/>
          <w:bCs/>
        </w:rPr>
      </w:pPr>
      <w:r w:rsidRPr="00671B11">
        <w:rPr>
          <w:rFonts w:cstheme="minorHAnsi"/>
          <w:lang w:val="en-US"/>
        </w:rPr>
        <w:t xml:space="preserve">The Lebanese Red Cross (LRC) Headquarters hereby invites eligible and qualified firms (national and international) to submit a firm technical and financial proposal for the </w:t>
      </w:r>
      <w:r w:rsidR="000E2BA7" w:rsidRPr="00671B11">
        <w:rPr>
          <w:rFonts w:cstheme="minorHAnsi"/>
          <w:lang w:val="en-US"/>
        </w:rPr>
        <w:t>provision of</w:t>
      </w:r>
      <w:r w:rsidR="000E2BA7" w:rsidRPr="000E2BA7">
        <w:rPr>
          <w:rFonts w:cstheme="minorHAnsi"/>
          <w:lang w:val="en-US"/>
        </w:rPr>
        <w:t xml:space="preserve"> Gasoline and Diesel Fuel Refill Services for Lebanese Red Cross Vehicles </w:t>
      </w:r>
      <w:r w:rsidRPr="00671B11">
        <w:rPr>
          <w:rFonts w:cstheme="minorHAnsi"/>
          <w:lang w:val="en-US"/>
        </w:rPr>
        <w:t>in accordance with the Terms of Reference (Annex 3).</w:t>
      </w:r>
      <w:r w:rsidR="00C804C9">
        <w:rPr>
          <w:rFonts w:cstheme="minorHAnsi"/>
          <w:lang w:val="en-US"/>
        </w:rPr>
        <w:t xml:space="preserve"> The Duration is for </w:t>
      </w:r>
      <w:r w:rsidR="00C804C9" w:rsidRPr="00FB466B">
        <w:rPr>
          <w:rFonts w:cstheme="minorHAnsi"/>
          <w:lang w:val="en-US"/>
        </w:rPr>
        <w:t>Years (3) years Framework Agreement, with the possibility of extension for an additional one (1) year</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1C4357FD" w:rsidR="000274CD" w:rsidRPr="007032DA" w:rsidRDefault="00BA5F32" w:rsidP="00BA5F32">
            <w:pPr>
              <w:spacing w:after="0" w:line="240" w:lineRule="auto"/>
              <w:jc w:val="both"/>
              <w:rPr>
                <w:rFonts w:cstheme="minorHAnsi"/>
              </w:rPr>
            </w:pPr>
            <w:r w:rsidRPr="00BA5F32">
              <w:rPr>
                <w:rFonts w:cstheme="minorHAnsi"/>
                <w:noProof/>
              </w:rPr>
              <w:t xml:space="preserve">Not Applicable </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03985C5F" w:rsidR="008B09A4" w:rsidRPr="007032DA" w:rsidRDefault="00332F71" w:rsidP="001505A8">
            <w:pPr>
              <w:spacing w:after="0" w:line="240" w:lineRule="auto"/>
              <w:jc w:val="both"/>
              <w:rPr>
                <w:rFonts w:cstheme="minorHAnsi"/>
              </w:rPr>
            </w:pPr>
            <w:r>
              <w:rPr>
                <w:rFonts w:cstheme="minorHAnsi"/>
              </w:rPr>
              <w:t>22</w:t>
            </w:r>
            <w:r w:rsidR="005C609A">
              <w:rPr>
                <w:rFonts w:cstheme="minorHAnsi"/>
              </w:rPr>
              <w:t xml:space="preserve"> June,</w:t>
            </w:r>
            <w:r w:rsidR="00A438D7" w:rsidRPr="007032DA">
              <w:rPr>
                <w:rFonts w:cstheme="minorHAnsi"/>
              </w:rPr>
              <w:t xml:space="preserve">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48BF3807" w:rsidR="008B09A4" w:rsidRPr="007032DA" w:rsidRDefault="005C609A" w:rsidP="001505A8">
            <w:pPr>
              <w:spacing w:after="0" w:line="240" w:lineRule="auto"/>
              <w:jc w:val="both"/>
              <w:rPr>
                <w:rFonts w:cstheme="minorHAnsi"/>
              </w:rPr>
            </w:pPr>
            <w:r>
              <w:rPr>
                <w:rFonts w:cstheme="minorHAnsi"/>
              </w:rPr>
              <w:t xml:space="preserve">July </w:t>
            </w:r>
            <w:r w:rsidR="00FB466B">
              <w:rPr>
                <w:rFonts w:cstheme="minorHAnsi"/>
              </w:rPr>
              <w:t>10</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22114C7A" w:rsidR="008B09A4" w:rsidRPr="007032DA" w:rsidRDefault="005C609A" w:rsidP="004E2CA0">
            <w:pPr>
              <w:spacing w:after="0" w:line="240" w:lineRule="auto"/>
              <w:jc w:val="both"/>
              <w:rPr>
                <w:rFonts w:cstheme="minorHAnsi"/>
                <w:bCs/>
              </w:rPr>
            </w:pPr>
            <w:r>
              <w:rPr>
                <w:rFonts w:cstheme="minorHAnsi"/>
              </w:rPr>
              <w:t xml:space="preserve">July </w:t>
            </w:r>
            <w:r w:rsidR="00FB466B">
              <w:rPr>
                <w:rFonts w:cstheme="minorHAnsi"/>
              </w:rPr>
              <w:t>01</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0F6E9405"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5C609A">
              <w:rPr>
                <w:rFonts w:cstheme="minorHAnsi"/>
                <w:b/>
                <w:bCs/>
              </w:rPr>
              <w:t>57</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54002">
              <w:rPr>
                <w:rFonts w:cstheme="minorHAnsi"/>
                <w:b/>
              </w:rPr>
              <w:t>Ju</w:t>
            </w:r>
            <w:r w:rsidR="005C609A">
              <w:rPr>
                <w:rFonts w:cstheme="minorHAnsi"/>
                <w:b/>
              </w:rPr>
              <w:t>ly 10</w:t>
            </w:r>
            <w:r w:rsidR="00154002">
              <w:rPr>
                <w:rFonts w:cstheme="minorHAnsi"/>
                <w:b/>
              </w:rPr>
              <w:t>,</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35A9AE25" w14:textId="0ED6FC5B" w:rsidR="005C609A" w:rsidRPr="005C609A" w:rsidRDefault="00AC409F" w:rsidP="005C609A">
      <w:pPr>
        <w:spacing w:before="100" w:beforeAutospacing="1" w:after="100" w:afterAutospacing="1"/>
        <w:rPr>
          <w:rFonts w:ascii="Aptos" w:hAnsi="Aptos"/>
          <w:b/>
          <w:bC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2026-0</w:t>
      </w:r>
      <w:r w:rsidR="005C609A">
        <w:rPr>
          <w:rFonts w:cstheme="minorHAnsi"/>
          <w:b/>
          <w:bCs/>
          <w:color w:val="000000" w:themeColor="text1"/>
        </w:rPr>
        <w:t>57</w:t>
      </w:r>
      <w:r w:rsidR="00BA5F32" w:rsidRPr="00BA5F32">
        <w:rPr>
          <w:rFonts w:cstheme="minorHAnsi"/>
          <w:b/>
          <w:bCs/>
          <w:color w:val="000000" w:themeColor="text1"/>
        </w:rPr>
        <w:t xml:space="preserve"> </w:t>
      </w:r>
      <w:r w:rsidR="005C609A" w:rsidRPr="005C609A">
        <w:rPr>
          <w:rFonts w:cstheme="minorHAnsi"/>
          <w:b/>
          <w:bCs/>
          <w:color w:val="000000" w:themeColor="text1"/>
        </w:rPr>
        <w:t>Provision of Gasoline and Diesel Fuel Refill Services for Lebanese Red Cross Vehicles</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0F2AF67" w14:textId="6FB0633A" w:rsidR="0038705A" w:rsidRDefault="0038705A" w:rsidP="0038705A">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technical</w:t>
      </w:r>
      <w:r w:rsidR="005C609A">
        <w:rPr>
          <w:rFonts w:cstheme="minorHAnsi"/>
          <w:b/>
          <w:bCs/>
        </w:rPr>
        <w:t xml:space="preserve"> </w:t>
      </w:r>
      <w:r w:rsidR="005C609A" w:rsidRPr="005C609A">
        <w:rPr>
          <w:rFonts w:cstheme="minorHAnsi"/>
          <w:b/>
          <w:bCs/>
        </w:rPr>
        <w:t>score (all the documents are mandatory requirements)</w:t>
      </w:r>
      <w:r w:rsidRPr="0038705A">
        <w:rPr>
          <w:rFonts w:cstheme="minorHAnsi"/>
        </w:rPr>
        <w:t xml:space="preserve"> in accordance with the evaluation methodology outlined in this tender document (Technical: </w:t>
      </w:r>
      <w:r w:rsidR="005C609A">
        <w:rPr>
          <w:rFonts w:cstheme="minorHAnsi"/>
        </w:rPr>
        <w:t>100%)</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No award of the contract if no proposal meets the required standards.</w:t>
      </w:r>
    </w:p>
    <w:p w14:paraId="38D49F9B" w14:textId="77777777" w:rsidR="005C609A" w:rsidRDefault="005C609A" w:rsidP="005C609A">
      <w:pPr>
        <w:autoSpaceDE w:val="0"/>
        <w:autoSpaceDN w:val="0"/>
        <w:adjustRightInd w:val="0"/>
        <w:spacing w:after="0" w:line="240" w:lineRule="auto"/>
        <w:jc w:val="both"/>
        <w:rPr>
          <w:rFonts w:cstheme="minorHAnsi"/>
          <w:lang w:val="en-US"/>
        </w:rPr>
      </w:pPr>
    </w:p>
    <w:tbl>
      <w:tblPr>
        <w:tblStyle w:val="GridTable4-Accent1"/>
        <w:tblW w:w="10679" w:type="dxa"/>
        <w:tblInd w:w="-635" w:type="dxa"/>
        <w:tblLook w:val="04A0" w:firstRow="1" w:lastRow="0" w:firstColumn="1" w:lastColumn="0" w:noHBand="0" w:noVBand="1"/>
      </w:tblPr>
      <w:tblGrid>
        <w:gridCol w:w="2880"/>
        <w:gridCol w:w="6529"/>
        <w:gridCol w:w="1270"/>
      </w:tblGrid>
      <w:tr w:rsidR="005C609A" w:rsidRPr="005C609A" w14:paraId="2842FC9F" w14:textId="77777777" w:rsidTr="005C609A">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80" w:type="dxa"/>
          </w:tcPr>
          <w:p w14:paraId="0FB260D2" w14:textId="77777777" w:rsidR="005C609A" w:rsidRPr="005C609A" w:rsidRDefault="005C609A" w:rsidP="0006468B">
            <w:pPr>
              <w:jc w:val="center"/>
              <w:rPr>
                <w:rFonts w:eastAsia="Times New Roman" w:cstheme="minorHAnsi"/>
                <w:sz w:val="18"/>
                <w:szCs w:val="18"/>
              </w:rPr>
            </w:pPr>
            <w:r w:rsidRPr="005C609A">
              <w:rPr>
                <w:rFonts w:eastAsia="Times New Roman" w:cstheme="minorHAnsi"/>
                <w:sz w:val="18"/>
                <w:szCs w:val="18"/>
              </w:rPr>
              <w:t>Criteria</w:t>
            </w:r>
          </w:p>
        </w:tc>
        <w:tc>
          <w:tcPr>
            <w:tcW w:w="6529" w:type="dxa"/>
          </w:tcPr>
          <w:p w14:paraId="493905B2" w14:textId="77777777" w:rsidR="005C609A" w:rsidRPr="005C609A" w:rsidRDefault="005C609A" w:rsidP="0006468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5C609A">
              <w:rPr>
                <w:rFonts w:eastAsia="Times New Roman" w:cstheme="minorHAnsi"/>
                <w:sz w:val="18"/>
                <w:szCs w:val="18"/>
              </w:rPr>
              <w:t>Description</w:t>
            </w:r>
          </w:p>
        </w:tc>
        <w:tc>
          <w:tcPr>
            <w:tcW w:w="1270" w:type="dxa"/>
          </w:tcPr>
          <w:p w14:paraId="2B9C5A5A" w14:textId="77777777" w:rsidR="005C609A" w:rsidRPr="005C609A" w:rsidRDefault="005C609A" w:rsidP="0006468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rPr>
            </w:pPr>
            <w:r w:rsidRPr="005C609A">
              <w:rPr>
                <w:rFonts w:eastAsia="Times New Roman" w:cstheme="minorHAnsi"/>
                <w:sz w:val="18"/>
                <w:szCs w:val="18"/>
              </w:rPr>
              <w:t>Weight</w:t>
            </w:r>
          </w:p>
        </w:tc>
      </w:tr>
      <w:tr w:rsidR="005C609A" w:rsidRPr="005C609A" w14:paraId="28DE3EF5" w14:textId="77777777" w:rsidTr="005C609A">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80" w:type="dxa"/>
          </w:tcPr>
          <w:p w14:paraId="2CE23601"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Geographic Coverage and Station Availability</w:t>
            </w:r>
          </w:p>
        </w:tc>
        <w:tc>
          <w:tcPr>
            <w:tcW w:w="6529" w:type="dxa"/>
          </w:tcPr>
          <w:p w14:paraId="7D3EA0D2" w14:textId="77777777" w:rsidR="005C609A" w:rsidRPr="005C609A" w:rsidRDefault="005C609A" w:rsidP="0006468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Availability of operational fuel stations across all Lebanese territories and regions, covering the attached list of 52 LRC operational locations. Accessibility, proximity, and operational coverage shall be considered.</w:t>
            </w:r>
          </w:p>
        </w:tc>
        <w:tc>
          <w:tcPr>
            <w:tcW w:w="1270" w:type="dxa"/>
          </w:tcPr>
          <w:p w14:paraId="66AC9E09" w14:textId="77777777" w:rsidR="005C609A" w:rsidRPr="005C609A" w:rsidRDefault="005C609A" w:rsidP="0006468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p>
          <w:p w14:paraId="0737A1F4" w14:textId="77777777" w:rsidR="005C609A" w:rsidRPr="005C609A" w:rsidRDefault="005C609A" w:rsidP="0006468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p>
          <w:p w14:paraId="7C4CC994" w14:textId="77777777" w:rsidR="005C609A" w:rsidRPr="005C609A" w:rsidRDefault="005C609A" w:rsidP="0006468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35%</w:t>
            </w:r>
          </w:p>
        </w:tc>
      </w:tr>
      <w:tr w:rsidR="005C609A" w:rsidRPr="005C609A" w14:paraId="2026C0C8" w14:textId="77777777" w:rsidTr="005C609A">
        <w:trPr>
          <w:trHeight w:val="98"/>
        </w:trPr>
        <w:tc>
          <w:tcPr>
            <w:cnfStyle w:val="001000000000" w:firstRow="0" w:lastRow="0" w:firstColumn="1" w:lastColumn="0" w:oddVBand="0" w:evenVBand="0" w:oddHBand="0" w:evenHBand="0" w:firstRowFirstColumn="0" w:firstRowLastColumn="0" w:lastRowFirstColumn="0" w:lastRowLastColumn="0"/>
            <w:tcW w:w="2880" w:type="dxa"/>
          </w:tcPr>
          <w:p w14:paraId="71221125"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Operational Capacity and Emergency Readiness</w:t>
            </w:r>
          </w:p>
        </w:tc>
        <w:tc>
          <w:tcPr>
            <w:tcW w:w="6529" w:type="dxa"/>
          </w:tcPr>
          <w:p w14:paraId="42F8B7F8" w14:textId="77777777" w:rsidR="005C609A" w:rsidRPr="005C609A" w:rsidRDefault="005C609A" w:rsidP="0006468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Ability to ensure uninterrupted fuel availability and 24/7 operational service during emergencies, conflicts, crises, strikes, and war situations. Availability of contingency plans, backup supply arrangements, and demonstrated capability to support humanitarian operations under exceptional circumstances.</w:t>
            </w:r>
          </w:p>
        </w:tc>
        <w:tc>
          <w:tcPr>
            <w:tcW w:w="1270" w:type="dxa"/>
          </w:tcPr>
          <w:p w14:paraId="5AB684ED"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p>
          <w:p w14:paraId="27165E27"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30%</w:t>
            </w:r>
          </w:p>
        </w:tc>
      </w:tr>
      <w:tr w:rsidR="005C609A" w:rsidRPr="005C609A" w14:paraId="4F8021AD" w14:textId="77777777" w:rsidTr="005C609A">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880" w:type="dxa"/>
          </w:tcPr>
          <w:p w14:paraId="09BE7E7E"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Fuel Pricing Strategy and Cost Competitiveness</w:t>
            </w:r>
          </w:p>
        </w:tc>
        <w:tc>
          <w:tcPr>
            <w:tcW w:w="6529" w:type="dxa"/>
          </w:tcPr>
          <w:p w14:paraId="6C076656" w14:textId="77777777" w:rsidR="005C609A" w:rsidRPr="005C609A" w:rsidRDefault="005C609A" w:rsidP="0006468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Compliance with official Ministry of Energy fuel rates and submission of a competitive pricing strategy.</w:t>
            </w:r>
          </w:p>
        </w:tc>
        <w:tc>
          <w:tcPr>
            <w:tcW w:w="1270" w:type="dxa"/>
          </w:tcPr>
          <w:p w14:paraId="72EDE4C7" w14:textId="77777777" w:rsidR="005C609A" w:rsidRPr="005C609A" w:rsidRDefault="005C609A" w:rsidP="0006468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p>
          <w:p w14:paraId="2B6EAA18" w14:textId="77777777" w:rsidR="005C609A" w:rsidRPr="005C609A" w:rsidRDefault="005C609A" w:rsidP="0006468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15%</w:t>
            </w:r>
          </w:p>
        </w:tc>
      </w:tr>
      <w:tr w:rsidR="005C609A" w:rsidRPr="005C609A" w14:paraId="62E5912E" w14:textId="77777777" w:rsidTr="005C609A">
        <w:trPr>
          <w:trHeight w:val="46"/>
        </w:trPr>
        <w:tc>
          <w:tcPr>
            <w:cnfStyle w:val="001000000000" w:firstRow="0" w:lastRow="0" w:firstColumn="1" w:lastColumn="0" w:oddVBand="0" w:evenVBand="0" w:oddHBand="0" w:evenHBand="0" w:firstRowFirstColumn="0" w:firstRowLastColumn="0" w:lastRowFirstColumn="0" w:lastRowLastColumn="0"/>
            <w:tcW w:w="2880" w:type="dxa"/>
          </w:tcPr>
          <w:p w14:paraId="0198C437"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Fuel Management and Reporting System</w:t>
            </w:r>
          </w:p>
        </w:tc>
        <w:tc>
          <w:tcPr>
            <w:tcW w:w="6529" w:type="dxa"/>
          </w:tcPr>
          <w:p w14:paraId="5CAC27B4" w14:textId="77777777" w:rsidR="005C609A" w:rsidRPr="005C609A" w:rsidRDefault="005C609A" w:rsidP="0006468B">
            <w:pPr>
              <w:tabs>
                <w:tab w:val="left" w:pos="155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Availability of a fuel card or voucher system allowing proper monitoring, tracking, reporting, and fuel consumption control per vehicle and operational unit.</w:t>
            </w:r>
            <w:r w:rsidRPr="005C609A">
              <w:rPr>
                <w:rFonts w:eastAsia="Times New Roman" w:cstheme="minorHAnsi"/>
                <w:b/>
                <w:bCs/>
                <w:sz w:val="18"/>
                <w:szCs w:val="18"/>
              </w:rPr>
              <w:tab/>
            </w:r>
          </w:p>
        </w:tc>
        <w:tc>
          <w:tcPr>
            <w:tcW w:w="1270" w:type="dxa"/>
          </w:tcPr>
          <w:p w14:paraId="537C074C"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p>
          <w:p w14:paraId="5830CAEB"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10%</w:t>
            </w:r>
          </w:p>
        </w:tc>
      </w:tr>
      <w:tr w:rsidR="005C609A" w:rsidRPr="005C609A" w14:paraId="10DFD094" w14:textId="77777777" w:rsidTr="005C609A">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80" w:type="dxa"/>
          </w:tcPr>
          <w:p w14:paraId="1BFF7C90"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Technical Experience and Compliance</w:t>
            </w:r>
          </w:p>
        </w:tc>
        <w:tc>
          <w:tcPr>
            <w:tcW w:w="6529" w:type="dxa"/>
          </w:tcPr>
          <w:p w14:paraId="335A548A" w14:textId="77777777" w:rsidR="005C609A" w:rsidRPr="005C609A" w:rsidRDefault="005C609A" w:rsidP="0006468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Supplier experience in fuel provision services for large organizations, NGOs, healthcare institutions, or operational fleets. Submission of all requested legal and technical documentation.</w:t>
            </w:r>
          </w:p>
        </w:tc>
        <w:tc>
          <w:tcPr>
            <w:tcW w:w="1270" w:type="dxa"/>
          </w:tcPr>
          <w:p w14:paraId="2B69FCC3" w14:textId="77777777" w:rsidR="005C609A" w:rsidRPr="005C609A" w:rsidRDefault="005C609A" w:rsidP="0006468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p>
          <w:p w14:paraId="1C129B62" w14:textId="77777777" w:rsidR="005C609A" w:rsidRPr="005C609A" w:rsidRDefault="005C609A" w:rsidP="0006468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5%</w:t>
            </w:r>
          </w:p>
        </w:tc>
      </w:tr>
      <w:tr w:rsidR="005C609A" w:rsidRPr="005C609A" w14:paraId="7B66E070" w14:textId="77777777" w:rsidTr="005C609A">
        <w:trPr>
          <w:trHeight w:val="645"/>
        </w:trPr>
        <w:tc>
          <w:tcPr>
            <w:cnfStyle w:val="001000000000" w:firstRow="0" w:lastRow="0" w:firstColumn="1" w:lastColumn="0" w:oddVBand="0" w:evenVBand="0" w:oddHBand="0" w:evenHBand="0" w:firstRowFirstColumn="0" w:firstRowLastColumn="0" w:lastRowFirstColumn="0" w:lastRowLastColumn="0"/>
            <w:tcW w:w="2880" w:type="dxa"/>
          </w:tcPr>
          <w:p w14:paraId="7551664D" w14:textId="77777777" w:rsidR="005C609A" w:rsidRPr="005C609A" w:rsidRDefault="005C609A" w:rsidP="0006468B">
            <w:pPr>
              <w:rPr>
                <w:rFonts w:eastAsia="Times New Roman" w:cstheme="minorHAnsi"/>
                <w:sz w:val="18"/>
                <w:szCs w:val="18"/>
              </w:rPr>
            </w:pPr>
            <w:r w:rsidRPr="005C609A">
              <w:rPr>
                <w:rFonts w:eastAsia="Times New Roman" w:cstheme="minorHAnsi"/>
                <w:sz w:val="18"/>
                <w:szCs w:val="18"/>
              </w:rPr>
              <w:t>Customer Support and Coordination</w:t>
            </w:r>
          </w:p>
        </w:tc>
        <w:tc>
          <w:tcPr>
            <w:tcW w:w="6529" w:type="dxa"/>
          </w:tcPr>
          <w:p w14:paraId="4ECE7C14" w14:textId="77777777" w:rsidR="005C609A" w:rsidRPr="005C609A" w:rsidRDefault="005C609A" w:rsidP="0006468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 xml:space="preserve">Availability of dedicated focal points, response time, issue handling, and operational coordination with the LRC </w:t>
            </w:r>
          </w:p>
        </w:tc>
        <w:tc>
          <w:tcPr>
            <w:tcW w:w="1270" w:type="dxa"/>
          </w:tcPr>
          <w:p w14:paraId="627AD884"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p>
          <w:p w14:paraId="1DD12436" w14:textId="77777777" w:rsidR="005C609A" w:rsidRPr="005C609A" w:rsidRDefault="005C609A" w:rsidP="0006468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rPr>
            </w:pPr>
            <w:r w:rsidRPr="005C609A">
              <w:rPr>
                <w:rFonts w:eastAsia="Times New Roman" w:cstheme="minorHAnsi"/>
                <w:b/>
                <w:bCs/>
                <w:sz w:val="18"/>
                <w:szCs w:val="18"/>
              </w:rPr>
              <w:t>5%</w:t>
            </w:r>
          </w:p>
        </w:tc>
      </w:tr>
    </w:tbl>
    <w:p w14:paraId="42E929EE" w14:textId="77777777" w:rsidR="005C609A" w:rsidRDefault="005C609A" w:rsidP="00191DF7">
      <w:pPr>
        <w:autoSpaceDE w:val="0"/>
        <w:autoSpaceDN w:val="0"/>
        <w:adjustRightInd w:val="0"/>
        <w:spacing w:after="0" w:line="240" w:lineRule="auto"/>
        <w:jc w:val="both"/>
        <w:rPr>
          <w:rFonts w:cstheme="minorHAnsi"/>
          <w:lang w:val="en-US"/>
        </w:rPr>
      </w:pP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22822178"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Finance) </w:t>
      </w:r>
      <w:r w:rsidRPr="007032DA">
        <w:rPr>
          <w:rFonts w:cstheme="minorHAnsi"/>
          <w:rtl/>
        </w:rPr>
        <w:t xml:space="preserve"> (وزارة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58C2404D"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r w:rsidR="00226BA9">
        <w:rPr>
          <w:rFonts w:cstheme="minorHAnsi"/>
          <w:b/>
          <w:bCs/>
          <w:lang w:val="en-US"/>
        </w:rPr>
        <w:t>ircular</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2EE1BEA3"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r w:rsidR="00226BA9">
        <w:rPr>
          <w:rFonts w:cstheme="minorHAnsi"/>
        </w:rPr>
        <w:t xml:space="preserve"> Circular </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3CE38118" w14:textId="2DBF421F" w:rsidR="00FE7532" w:rsidRPr="003030B2" w:rsidRDefault="00FE7532" w:rsidP="003030B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 xml:space="preserve">A proposal will be considered technically compliant if it satisfies all mandatory requirements </w:t>
      </w:r>
    </w:p>
    <w:p w14:paraId="7818DD39" w14:textId="403C54D8" w:rsidR="00FE7532" w:rsidRP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FB466B">
        <w:trPr>
          <w:trHeight w:val="908"/>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B61644E" w:rsidR="00FE246A" w:rsidRPr="00064BA1" w:rsidRDefault="00FB466B" w:rsidP="00FB466B">
            <w:pPr>
              <w:keepNext/>
              <w:keepLines/>
              <w:spacing w:after="0" w:line="240" w:lineRule="auto"/>
              <w:jc w:val="both"/>
              <w:rPr>
                <w:rFonts w:cstheme="minorHAnsi"/>
                <w:lang w:val="en-US"/>
              </w:rPr>
            </w:pPr>
            <w:r w:rsidRPr="00FB466B">
              <w:rPr>
                <w:rFonts w:cstheme="minorHAnsi"/>
                <w:lang w:val="en-US"/>
              </w:rPr>
              <w:t>Years (3) years Framework Agreement, with the possibility of extension for an additional one (1) year</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090CFBEA"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FB466B">
              <w:rPr>
                <w:rFonts w:cstheme="minorHAnsi"/>
                <w:lang w:val="en-US"/>
              </w:rPr>
              <w:t>57</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4AD9B302"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FB466B">
              <w:rPr>
                <w:rFonts w:cstheme="minorHAnsi"/>
                <w:b/>
                <w:bCs/>
                <w:highlight w:val="yellow"/>
                <w:lang w:val="en-US"/>
              </w:rPr>
              <w:t>57</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FB466B">
              <w:rPr>
                <w:rFonts w:cstheme="minorHAnsi"/>
                <w:b/>
                <w:bCs/>
                <w:highlight w:val="yellow"/>
                <w:lang w:val="en-US"/>
              </w:rPr>
              <w:t>July 10</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288AC399"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0B980CD"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332F71">
              <w:rPr>
                <w:rFonts w:cstheme="minorHAnsi"/>
              </w:rPr>
              <w:t>22</w:t>
            </w:r>
            <w:r w:rsidR="00FB466B">
              <w:rPr>
                <w:rFonts w:cstheme="minorHAnsi"/>
              </w:rPr>
              <w:t xml:space="preserve"> June</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2C1F96FA"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FB466B">
              <w:rPr>
                <w:rFonts w:cstheme="minorHAnsi"/>
              </w:rPr>
              <w:t>10 July</w:t>
            </w:r>
            <w:r w:rsidRPr="007032DA">
              <w:rPr>
                <w:rFonts w:cstheme="minorHAnsi"/>
              </w:rPr>
              <w:t xml:space="preserve">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C89CF98"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FB466B">
              <w:rPr>
                <w:rFonts w:cstheme="minorHAnsi"/>
              </w:rPr>
              <w:t>01 July</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6EDA23D"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FB466B">
              <w:rPr>
                <w:rFonts w:cstheme="minorHAnsi"/>
              </w:rPr>
              <w:t>57</w:t>
            </w:r>
            <w:r w:rsidRPr="007032DA">
              <w:rPr>
                <w:rFonts w:cstheme="minorHAnsi"/>
              </w:rPr>
              <w:t xml:space="preserve"> Do not open before </w:t>
            </w:r>
            <w:r w:rsidR="00636602">
              <w:rPr>
                <w:rFonts w:cstheme="minorHAnsi"/>
              </w:rPr>
              <w:t>Ju</w:t>
            </w:r>
            <w:r w:rsidR="00FB466B">
              <w:rPr>
                <w:rFonts w:cstheme="minorHAnsi"/>
              </w:rPr>
              <w:t>ly 10</w:t>
            </w:r>
            <w:r w:rsidRPr="007032DA">
              <w:rPr>
                <w:rFonts w:cstheme="minorHAnsi"/>
              </w:rPr>
              <w:t>, 2026.</w:t>
            </w:r>
          </w:p>
        </w:tc>
      </w:tr>
    </w:tbl>
    <w:p w14:paraId="4441FBB5" w14:textId="77777777" w:rsidR="00D87E22" w:rsidRDefault="00D87E22" w:rsidP="00130EB0">
      <w:pPr>
        <w:spacing w:after="0"/>
        <w:jc w:val="both"/>
        <w:rPr>
          <w:rFonts w:cstheme="minorHAnsi"/>
        </w:rPr>
      </w:pPr>
    </w:p>
    <w:p w14:paraId="6FF920A1" w14:textId="77777777" w:rsidR="00226BA9" w:rsidRDefault="00226BA9"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45EDB010" w14:textId="6E7E7D4D" w:rsidR="006B7269" w:rsidRPr="006B7269" w:rsidRDefault="006B7269" w:rsidP="000E2BA7">
      <w:pPr>
        <w:spacing w:after="0" w:line="240" w:lineRule="auto"/>
        <w:rPr>
          <w:rFonts w:cstheme="minorHAnsi"/>
          <w:bCs/>
        </w:rPr>
      </w:pPr>
      <w:r w:rsidRPr="006B7269">
        <w:rPr>
          <w:rFonts w:cstheme="minorHAnsi"/>
          <w:bCs/>
        </w:rPr>
        <w:t xml:space="preserve">Bidders are required to submit a proposal covering the full scope of services as described in Annex 3 (Terms of Reference). </w:t>
      </w:r>
    </w:p>
    <w:p w14:paraId="672B593B" w14:textId="5BAC3A16" w:rsidR="006B7269" w:rsidRPr="006B7269" w:rsidRDefault="006B7269" w:rsidP="000E2BA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lastRenderedPageBreak/>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10E3719" w:rsidR="00E60140" w:rsidRPr="00E60140" w:rsidRDefault="00E60140" w:rsidP="00E60140">
      <w:pPr>
        <w:spacing w:after="0" w:line="240" w:lineRule="auto"/>
        <w:rPr>
          <w:rFonts w:cstheme="minorHAnsi"/>
        </w:rPr>
      </w:pPr>
      <w:r w:rsidRPr="00E60140">
        <w:rPr>
          <w:rFonts w:cstheme="minorHAnsi"/>
        </w:rPr>
        <w:t>The services shall be performed in accordance with the Terms of Reference and as agreed in the contract with the successful Tenderer.</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6B3DB95B" w:rsidR="002D5A73" w:rsidRDefault="00737456" w:rsidP="00737456">
      <w:pPr>
        <w:spacing w:after="0"/>
        <w:jc w:val="both"/>
        <w:rPr>
          <w:rFonts w:cstheme="minorHAnsi"/>
        </w:rPr>
      </w:pPr>
      <w:r w:rsidRPr="00737456">
        <w:rPr>
          <w:rFonts w:cstheme="minorHAnsi"/>
        </w:rPr>
        <w:t>The services must be completed within the agreed timeframe following contract signing.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lastRenderedPageBreak/>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3 </w:t>
      </w:r>
      <w:r w:rsidRPr="007032DA">
        <w:rPr>
          <w:rFonts w:cstheme="minorHAnsi"/>
        </w:rPr>
        <w:t>.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This ITB does not commit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lastRenderedPageBreak/>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w:t>
      </w:r>
      <w:r w:rsidR="0095397C" w:rsidRPr="007032DA">
        <w:rPr>
          <w:rFonts w:cstheme="minorHAnsi"/>
          <w:lang w:val="en-US"/>
        </w:rPr>
        <w:lastRenderedPageBreak/>
        <w:t>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lastRenderedPageBreak/>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B36E" w14:textId="77777777" w:rsidR="008E5280" w:rsidRDefault="008E5280" w:rsidP="00ED3A74">
      <w:pPr>
        <w:spacing w:after="0" w:line="240" w:lineRule="auto"/>
      </w:pPr>
      <w:r>
        <w:separator/>
      </w:r>
    </w:p>
  </w:endnote>
  <w:endnote w:type="continuationSeparator" w:id="0">
    <w:p w14:paraId="5D941629" w14:textId="77777777" w:rsidR="008E5280" w:rsidRDefault="008E5280" w:rsidP="00ED3A74">
      <w:pPr>
        <w:spacing w:after="0" w:line="240" w:lineRule="auto"/>
      </w:pPr>
      <w:r>
        <w:continuationSeparator/>
      </w:r>
    </w:p>
  </w:endnote>
  <w:endnote w:type="continuationNotice" w:id="1">
    <w:p w14:paraId="7B351F3B" w14:textId="77777777" w:rsidR="008E5280" w:rsidRDefault="008E5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B993" w14:textId="77777777" w:rsidR="008E5280" w:rsidRDefault="008E5280" w:rsidP="00ED3A74">
      <w:pPr>
        <w:spacing w:after="0" w:line="240" w:lineRule="auto"/>
      </w:pPr>
      <w:r>
        <w:separator/>
      </w:r>
    </w:p>
  </w:footnote>
  <w:footnote w:type="continuationSeparator" w:id="0">
    <w:p w14:paraId="77F67FB2" w14:textId="77777777" w:rsidR="008E5280" w:rsidRDefault="008E5280" w:rsidP="00ED3A74">
      <w:pPr>
        <w:spacing w:after="0" w:line="240" w:lineRule="auto"/>
      </w:pPr>
      <w:r>
        <w:continuationSeparator/>
      </w:r>
    </w:p>
  </w:footnote>
  <w:footnote w:type="continuationNotice" w:id="1">
    <w:p w14:paraId="4A3B4015" w14:textId="77777777" w:rsidR="008E5280" w:rsidRDefault="008E5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8FD873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154002">
      <w:t>4</w:t>
    </w:r>
  </w:p>
  <w:p w14:paraId="16E23559" w14:textId="3229BEEE" w:rsidR="001505A8" w:rsidRDefault="001505A8" w:rsidP="001505A8">
    <w:pPr>
      <w:pStyle w:val="Header"/>
      <w:jc w:val="right"/>
      <w:rPr>
        <w:noProof/>
      </w:rPr>
    </w:pPr>
    <w:r>
      <w:t>Tender reference: 202</w:t>
    </w:r>
    <w:r w:rsidR="00A438D7">
      <w:t>6-</w:t>
    </w:r>
    <w:r w:rsidR="00671B11">
      <w:t>0</w:t>
    </w:r>
    <w:r w:rsidR="005C609A">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4466"/>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23EE"/>
    <w:rsid w:val="000E2BA7"/>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002"/>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182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BA9"/>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0B2"/>
    <w:rsid w:val="002F1234"/>
    <w:rsid w:val="002F1A3C"/>
    <w:rsid w:val="002F1C7A"/>
    <w:rsid w:val="002F355D"/>
    <w:rsid w:val="002F382C"/>
    <w:rsid w:val="002F400E"/>
    <w:rsid w:val="002F5193"/>
    <w:rsid w:val="002F68E3"/>
    <w:rsid w:val="00300A95"/>
    <w:rsid w:val="00300B36"/>
    <w:rsid w:val="003030B2"/>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2F71"/>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5D9"/>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3F6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09A"/>
    <w:rsid w:val="005C6BB3"/>
    <w:rsid w:val="005C6DFC"/>
    <w:rsid w:val="005D092C"/>
    <w:rsid w:val="005D26A8"/>
    <w:rsid w:val="005D38B5"/>
    <w:rsid w:val="005D4BDD"/>
    <w:rsid w:val="005D4F47"/>
    <w:rsid w:val="005D540C"/>
    <w:rsid w:val="005D5C4F"/>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602"/>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4E9C"/>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51F"/>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3D60"/>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280"/>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09BF"/>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639"/>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5F2D"/>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4C9"/>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35"/>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466B"/>
    <w:rsid w:val="00FB50B4"/>
    <w:rsid w:val="00FB5356"/>
    <w:rsid w:val="00FB551A"/>
    <w:rsid w:val="00FB5FFD"/>
    <w:rsid w:val="00FB6BFB"/>
    <w:rsid w:val="00FB715F"/>
    <w:rsid w:val="00FC038C"/>
    <w:rsid w:val="00FC0AB3"/>
    <w:rsid w:val="00FC1D90"/>
    <w:rsid w:val="00FC232A"/>
    <w:rsid w:val="00FC3404"/>
    <w:rsid w:val="00FC345E"/>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1000</TotalTime>
  <Pages>9</Pages>
  <Words>3818</Words>
  <Characters>20661</Characters>
  <Application>Microsoft Office Word</Application>
  <DocSecurity>0</DocSecurity>
  <Lines>459</Lines>
  <Paragraphs>278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89</cp:revision>
  <cp:lastPrinted>2025-04-09T08:02:00Z</cp:lastPrinted>
  <dcterms:created xsi:type="dcterms:W3CDTF">2025-05-20T16:45:00Z</dcterms:created>
  <dcterms:modified xsi:type="dcterms:W3CDTF">2026-06-22T07:59:00Z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